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3" w:rsidRDefault="00526593" w:rsidP="00526593">
      <w:pPr>
        <w:pStyle w:val="Default"/>
        <w:spacing w:line="276" w:lineRule="auto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187A6C" wp14:editId="7E1D3036">
            <wp:simplePos x="0" y="0"/>
            <wp:positionH relativeFrom="margin">
              <wp:posOffset>-311150</wp:posOffset>
            </wp:positionH>
            <wp:positionV relativeFrom="margin">
              <wp:posOffset>-255905</wp:posOffset>
            </wp:positionV>
            <wp:extent cx="7288530" cy="1056259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9" t="17390" r="35741" b="5924"/>
                    <a:stretch/>
                  </pic:blipFill>
                  <pic:spPr bwMode="auto">
                    <a:xfrm>
                      <a:off x="0" y="0"/>
                      <a:ext cx="7288530" cy="105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593" w:rsidRDefault="00526593" w:rsidP="00526593">
      <w:pPr>
        <w:pStyle w:val="Default"/>
        <w:spacing w:line="276" w:lineRule="auto"/>
        <w:jc w:val="both"/>
        <w:rPr>
          <w:noProof/>
          <w:lang w:eastAsia="fr-FR"/>
        </w:rPr>
      </w:pPr>
      <w:r>
        <w:lastRenderedPageBreak/>
        <w:t xml:space="preserve"> </w:t>
      </w:r>
    </w:p>
    <w:p w:rsidR="00526593" w:rsidRDefault="00526593" w:rsidP="00526593">
      <w:pPr>
        <w:pStyle w:val="Default"/>
        <w:spacing w:line="276" w:lineRule="auto"/>
        <w:jc w:val="both"/>
        <w:rPr>
          <w:noProof/>
          <w:lang w:eastAsia="fr-FR"/>
        </w:rPr>
      </w:pPr>
    </w:p>
    <w:p w:rsidR="00A568DF" w:rsidRPr="004D5920" w:rsidRDefault="00A568DF" w:rsidP="00A568DF">
      <w:pPr>
        <w:pStyle w:val="Default"/>
        <w:spacing w:line="276" w:lineRule="auto"/>
        <w:jc w:val="both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Le référentiel  </w:t>
      </w:r>
      <w:r w:rsidRPr="004D5920">
        <w:rPr>
          <w:b/>
          <w:bCs/>
          <w:color w:val="auto"/>
          <w:sz w:val="52"/>
          <w:szCs w:val="52"/>
        </w:rPr>
        <w:t xml:space="preserve">Version 2020 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L’exploitation est engagée dans les démarches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 xml:space="preserve">« </w:t>
      </w:r>
      <w:r w:rsidRPr="00B852E0">
        <w:rPr>
          <w:b/>
          <w:color w:val="auto"/>
          <w:sz w:val="32"/>
          <w:szCs w:val="32"/>
        </w:rPr>
        <w:t>Viticulture durable en Champagne</w:t>
      </w:r>
      <w:r>
        <w:rPr>
          <w:color w:val="auto"/>
          <w:sz w:val="32"/>
          <w:szCs w:val="32"/>
        </w:rPr>
        <w:t xml:space="preserve"> » et </w:t>
      </w:r>
      <w:r w:rsidRPr="004D5920">
        <w:rPr>
          <w:b/>
          <w:color w:val="auto"/>
          <w:sz w:val="32"/>
          <w:szCs w:val="32"/>
        </w:rPr>
        <w:t>« Haute Valeur Environnementale »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Le référentiel est structuré en 3 étapes progressives.</w:t>
      </w: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Au total, ce sont 99 po</w:t>
      </w:r>
      <w:r>
        <w:rPr>
          <w:color w:val="auto"/>
          <w:sz w:val="32"/>
          <w:szCs w:val="32"/>
        </w:rPr>
        <w:t xml:space="preserve">ints qui sont vérifiés lors des </w:t>
      </w:r>
      <w:r w:rsidRPr="004D5920">
        <w:rPr>
          <w:color w:val="auto"/>
          <w:sz w:val="32"/>
          <w:szCs w:val="32"/>
        </w:rPr>
        <w:t>audits de contrôle.</w:t>
      </w: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A568DF">
        <w:rPr>
          <w:color w:val="auto"/>
          <w:sz w:val="32"/>
          <w:szCs w:val="32"/>
        </w:rPr>
        <w:t>Le référentiel n’est plus uniquement composé de points de contrôle, mais également d’Engagements. Les points d’engagements sont des points qui ne font pas l’objet d’écart.</w:t>
      </w: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b/>
          <w:color w:val="auto"/>
          <w:sz w:val="32"/>
          <w:szCs w:val="32"/>
          <w:u w:val="single"/>
        </w:rPr>
      </w:pPr>
      <w:r w:rsidRPr="004D5920">
        <w:rPr>
          <w:b/>
          <w:bCs/>
          <w:color w:val="auto"/>
          <w:sz w:val="32"/>
          <w:szCs w:val="32"/>
          <w:u w:val="single"/>
        </w:rPr>
        <w:t xml:space="preserve">Etape 1 : </w:t>
      </w:r>
      <w:r w:rsidRPr="004D5920">
        <w:rPr>
          <w:b/>
          <w:color w:val="auto"/>
          <w:sz w:val="32"/>
          <w:szCs w:val="32"/>
          <w:u w:val="single"/>
        </w:rPr>
        <w:t>Je respecte la réglementation</w:t>
      </w:r>
    </w:p>
    <w:p w:rsidR="00A568DF" w:rsidRPr="004D5920" w:rsidRDefault="00A568DF" w:rsidP="00A568D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Le respect de la réglementation est u</w:t>
      </w:r>
      <w:r>
        <w:rPr>
          <w:color w:val="auto"/>
          <w:sz w:val="32"/>
          <w:szCs w:val="32"/>
        </w:rPr>
        <w:t xml:space="preserve">n préalable à toute démarche de </w:t>
      </w:r>
      <w:r w:rsidRPr="004D5920">
        <w:rPr>
          <w:color w:val="auto"/>
          <w:sz w:val="32"/>
          <w:szCs w:val="32"/>
        </w:rPr>
        <w:t>certification. L’activité viticole est soumise à une réglementation</w:t>
      </w:r>
      <w:r>
        <w:rPr>
          <w:color w:val="auto"/>
          <w:sz w:val="32"/>
          <w:szCs w:val="32"/>
        </w:rPr>
        <w:t xml:space="preserve"> qui a </w:t>
      </w:r>
      <w:r w:rsidRPr="004D5920">
        <w:rPr>
          <w:color w:val="auto"/>
          <w:sz w:val="32"/>
          <w:szCs w:val="32"/>
        </w:rPr>
        <w:t>pour objectif de protéger les exploitants</w:t>
      </w:r>
      <w:r>
        <w:rPr>
          <w:color w:val="auto"/>
          <w:sz w:val="32"/>
          <w:szCs w:val="32"/>
        </w:rPr>
        <w:t xml:space="preserve">, les salariés, les populations </w:t>
      </w:r>
      <w:r w:rsidRPr="004D5920">
        <w:rPr>
          <w:color w:val="auto"/>
          <w:sz w:val="32"/>
          <w:szCs w:val="32"/>
        </w:rPr>
        <w:t>locales, les consommateurs et l’environnement.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 xml:space="preserve">Cette 1ère étape comporte 29 points </w:t>
      </w:r>
      <w:r>
        <w:rPr>
          <w:color w:val="auto"/>
          <w:sz w:val="32"/>
          <w:szCs w:val="32"/>
        </w:rPr>
        <w:t xml:space="preserve">réglementaires de base dans les </w:t>
      </w:r>
      <w:r w:rsidRPr="004D5920">
        <w:rPr>
          <w:color w:val="auto"/>
          <w:sz w:val="32"/>
          <w:szCs w:val="32"/>
        </w:rPr>
        <w:t>domaines de :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gestion de l’exploitation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préservation de la biodiversité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stratégie phytosanitaire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gestion de la fertilisation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préservation des terroirs et mise en valeur des paysages</w:t>
      </w: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- gestion des effluents et des déchets</w:t>
      </w:r>
    </w:p>
    <w:p w:rsidR="00A568DF" w:rsidRPr="004D5920" w:rsidRDefault="00A568DF" w:rsidP="00A568D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A568DF" w:rsidRDefault="00A568DF" w:rsidP="00A568D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Etape 2 : </w:t>
      </w:r>
      <w:r w:rsidRPr="004D5920">
        <w:rPr>
          <w:b/>
          <w:bCs/>
          <w:color w:val="auto"/>
          <w:sz w:val="32"/>
          <w:szCs w:val="32"/>
          <w:u w:val="single"/>
        </w:rPr>
        <w:t>En route vers la Haute Valeur Environnementale (HVE)</w:t>
      </w:r>
    </w:p>
    <w:p w:rsidR="00A568DF" w:rsidRPr="004D5920" w:rsidRDefault="00A568DF" w:rsidP="00A568D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HVE est le 3ème niveau d’une certifica</w:t>
      </w:r>
      <w:r>
        <w:rPr>
          <w:color w:val="auto"/>
          <w:sz w:val="32"/>
          <w:szCs w:val="32"/>
        </w:rPr>
        <w:t xml:space="preserve">tion environnementale nationale mise </w:t>
      </w:r>
      <w:r w:rsidRPr="004D5920">
        <w:rPr>
          <w:color w:val="auto"/>
          <w:sz w:val="32"/>
          <w:szCs w:val="32"/>
        </w:rPr>
        <w:t>en place par l’Etat.</w:t>
      </w: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4D5920">
        <w:rPr>
          <w:color w:val="auto"/>
          <w:sz w:val="32"/>
          <w:szCs w:val="32"/>
        </w:rPr>
        <w:t>La certification HVE est basée sur la p</w:t>
      </w:r>
      <w:r>
        <w:rPr>
          <w:color w:val="auto"/>
          <w:sz w:val="32"/>
          <w:szCs w:val="32"/>
        </w:rPr>
        <w:t xml:space="preserve">erformance environnementale des </w:t>
      </w:r>
      <w:r w:rsidRPr="004D5920">
        <w:rPr>
          <w:color w:val="auto"/>
          <w:sz w:val="32"/>
          <w:szCs w:val="32"/>
        </w:rPr>
        <w:t>exploitations. Elle contient 11 points fondés s</w:t>
      </w:r>
      <w:r>
        <w:rPr>
          <w:color w:val="auto"/>
          <w:sz w:val="32"/>
          <w:szCs w:val="32"/>
        </w:rPr>
        <w:t xml:space="preserve">ur des indicateurs de résultats </w:t>
      </w:r>
      <w:r w:rsidRPr="004D5920">
        <w:rPr>
          <w:color w:val="auto"/>
          <w:sz w:val="32"/>
          <w:szCs w:val="32"/>
        </w:rPr>
        <w:t>relatifs à la biodiversité, à la stratégie phyto</w:t>
      </w:r>
      <w:r>
        <w:rPr>
          <w:color w:val="auto"/>
          <w:sz w:val="32"/>
          <w:szCs w:val="32"/>
        </w:rPr>
        <w:t xml:space="preserve">sanitaire et à la gestion de la </w:t>
      </w:r>
      <w:r w:rsidRPr="004D5920">
        <w:rPr>
          <w:color w:val="auto"/>
          <w:sz w:val="32"/>
          <w:szCs w:val="32"/>
        </w:rPr>
        <w:t>fertilisation.</w:t>
      </w:r>
    </w:p>
    <w:p w:rsidR="00A568DF" w:rsidRDefault="00A568DF" w:rsidP="00A568DF">
      <w:pPr>
        <w:pStyle w:val="Default"/>
        <w:spacing w:line="276" w:lineRule="auto"/>
        <w:ind w:left="720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spacing w:line="276" w:lineRule="auto"/>
        <w:ind w:left="720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b/>
          <w:color w:val="auto"/>
          <w:sz w:val="32"/>
          <w:szCs w:val="32"/>
          <w:u w:val="single"/>
        </w:rPr>
      </w:pPr>
      <w:r w:rsidRPr="004D5920">
        <w:rPr>
          <w:b/>
          <w:bCs/>
          <w:color w:val="auto"/>
          <w:sz w:val="32"/>
          <w:szCs w:val="32"/>
          <w:u w:val="single"/>
        </w:rPr>
        <w:t xml:space="preserve">Etape 3 : </w:t>
      </w:r>
      <w:r w:rsidRPr="004D5920">
        <w:rPr>
          <w:b/>
          <w:color w:val="auto"/>
          <w:sz w:val="32"/>
          <w:szCs w:val="32"/>
          <w:u w:val="single"/>
        </w:rPr>
        <w:t>J’agis pour la Champagne</w:t>
      </w:r>
    </w:p>
    <w:p w:rsidR="00A568DF" w:rsidRPr="004D5920" w:rsidRDefault="00A568DF" w:rsidP="00A568DF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Pr="004D5920">
        <w:rPr>
          <w:color w:val="auto"/>
          <w:sz w:val="32"/>
          <w:szCs w:val="32"/>
        </w:rPr>
        <w:t>La certification Viticulture Durable en Ch</w:t>
      </w:r>
      <w:r>
        <w:rPr>
          <w:color w:val="auto"/>
          <w:sz w:val="32"/>
          <w:szCs w:val="32"/>
        </w:rPr>
        <w:t xml:space="preserve">ampagne est donc l’ultime étape  </w:t>
      </w:r>
      <w:r w:rsidRPr="004D5920">
        <w:rPr>
          <w:color w:val="auto"/>
          <w:sz w:val="32"/>
          <w:szCs w:val="32"/>
        </w:rPr>
        <w:t>d’une démarche de progrès et d’un engagement de nos</w:t>
      </w:r>
      <w:r>
        <w:rPr>
          <w:color w:val="auto"/>
          <w:sz w:val="32"/>
          <w:szCs w:val="32"/>
        </w:rPr>
        <w:t xml:space="preserve"> pratiques  </w:t>
      </w:r>
      <w:r w:rsidRPr="004D5920">
        <w:rPr>
          <w:color w:val="auto"/>
          <w:sz w:val="32"/>
          <w:szCs w:val="32"/>
        </w:rPr>
        <w:t>techniques et environnementales respectueuses.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Pr="004D5920">
        <w:rPr>
          <w:color w:val="auto"/>
          <w:sz w:val="32"/>
          <w:szCs w:val="32"/>
        </w:rPr>
        <w:t xml:space="preserve">Cette certification comporte 59 </w:t>
      </w:r>
      <w:r>
        <w:rPr>
          <w:color w:val="auto"/>
          <w:sz w:val="32"/>
          <w:szCs w:val="32"/>
        </w:rPr>
        <w:t xml:space="preserve">mesures spécifiques au vignoble </w:t>
      </w:r>
      <w:r w:rsidRPr="004D5920">
        <w:rPr>
          <w:color w:val="auto"/>
          <w:sz w:val="32"/>
          <w:szCs w:val="32"/>
        </w:rPr>
        <w:t>champenois et mesures complémentaires à des exigences réglementaires.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Gestion de l’exploitation</w:t>
      </w:r>
      <w:r w:rsidRPr="004D5920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: se former et informer sur les </w:t>
      </w:r>
      <w:r w:rsidRPr="004D5920">
        <w:rPr>
          <w:color w:val="auto"/>
          <w:sz w:val="32"/>
          <w:szCs w:val="32"/>
        </w:rPr>
        <w:t>méthodes et pratiques de la viticulture durable.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Préservation de la biodiversité</w:t>
      </w:r>
      <w:r>
        <w:rPr>
          <w:color w:val="auto"/>
          <w:sz w:val="32"/>
          <w:szCs w:val="32"/>
        </w:rPr>
        <w:t xml:space="preserve"> : maintenir ou développer la </w:t>
      </w:r>
      <w:r w:rsidRPr="004D5920">
        <w:rPr>
          <w:color w:val="auto"/>
          <w:sz w:val="32"/>
          <w:szCs w:val="32"/>
        </w:rPr>
        <w:t>biodiversité des coteaux viticoles et</w:t>
      </w:r>
      <w:r>
        <w:rPr>
          <w:color w:val="auto"/>
          <w:sz w:val="32"/>
          <w:szCs w:val="32"/>
        </w:rPr>
        <w:t xml:space="preserve"> préserver les milieux naturels </w:t>
      </w:r>
      <w:r w:rsidRPr="004D5920">
        <w:rPr>
          <w:color w:val="auto"/>
          <w:sz w:val="32"/>
          <w:szCs w:val="32"/>
        </w:rPr>
        <w:t>et les ressources en eau.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Stratégie phytosanitaire</w:t>
      </w:r>
      <w:r w:rsidRPr="004D5920">
        <w:rPr>
          <w:color w:val="auto"/>
          <w:sz w:val="32"/>
          <w:szCs w:val="32"/>
        </w:rPr>
        <w:t xml:space="preserve"> : préserver la récolte en qualit</w:t>
      </w:r>
      <w:r>
        <w:rPr>
          <w:color w:val="auto"/>
          <w:sz w:val="32"/>
          <w:szCs w:val="32"/>
        </w:rPr>
        <w:t xml:space="preserve">é et </w:t>
      </w:r>
      <w:r w:rsidRPr="004D5920">
        <w:rPr>
          <w:color w:val="auto"/>
          <w:sz w:val="32"/>
          <w:szCs w:val="32"/>
        </w:rPr>
        <w:t>quantité, permettre l’effic</w:t>
      </w:r>
      <w:r>
        <w:rPr>
          <w:color w:val="auto"/>
          <w:sz w:val="32"/>
          <w:szCs w:val="32"/>
        </w:rPr>
        <w:t xml:space="preserve">acité maximale des traitements, </w:t>
      </w:r>
      <w:r w:rsidRPr="004D5920">
        <w:rPr>
          <w:color w:val="auto"/>
          <w:sz w:val="32"/>
          <w:szCs w:val="32"/>
        </w:rPr>
        <w:t>respecter les populations locales e</w:t>
      </w:r>
      <w:r>
        <w:rPr>
          <w:color w:val="auto"/>
          <w:sz w:val="32"/>
          <w:szCs w:val="32"/>
        </w:rPr>
        <w:t xml:space="preserve">t les consommateurs, assurer la </w:t>
      </w:r>
      <w:r w:rsidRPr="004D5920">
        <w:rPr>
          <w:color w:val="auto"/>
          <w:sz w:val="32"/>
          <w:szCs w:val="32"/>
        </w:rPr>
        <w:t xml:space="preserve">sécurité des opérateurs, préserver la qualité des </w:t>
      </w:r>
      <w:r>
        <w:rPr>
          <w:color w:val="auto"/>
          <w:sz w:val="32"/>
          <w:szCs w:val="32"/>
        </w:rPr>
        <w:t xml:space="preserve">sols, de l’eau, de l’air et des </w:t>
      </w:r>
      <w:r w:rsidRPr="004D5920">
        <w:rPr>
          <w:color w:val="auto"/>
          <w:sz w:val="32"/>
          <w:szCs w:val="32"/>
        </w:rPr>
        <w:t>milieux naturels.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Gestion de la fertilisation</w:t>
      </w:r>
      <w:r w:rsidRPr="004D5920">
        <w:rPr>
          <w:color w:val="auto"/>
          <w:sz w:val="32"/>
          <w:szCs w:val="32"/>
        </w:rPr>
        <w:t xml:space="preserve"> : la fert</w:t>
      </w:r>
      <w:r>
        <w:rPr>
          <w:color w:val="auto"/>
          <w:sz w:val="32"/>
          <w:szCs w:val="32"/>
        </w:rPr>
        <w:t xml:space="preserve">ilisation de la vigne s’inscrit </w:t>
      </w:r>
      <w:r w:rsidRPr="004D5920">
        <w:rPr>
          <w:color w:val="auto"/>
          <w:sz w:val="32"/>
          <w:szCs w:val="32"/>
        </w:rPr>
        <w:t xml:space="preserve">dans une logique globale d’entretien </w:t>
      </w:r>
      <w:r>
        <w:rPr>
          <w:color w:val="auto"/>
          <w:sz w:val="32"/>
          <w:szCs w:val="32"/>
        </w:rPr>
        <w:t xml:space="preserve">du sol. 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Préservation des terroirs et mise en valeur des paysages</w:t>
      </w:r>
      <w:r w:rsidRPr="004D5920">
        <w:rPr>
          <w:color w:val="auto"/>
          <w:sz w:val="32"/>
          <w:szCs w:val="32"/>
        </w:rPr>
        <w:t xml:space="preserve"> :</w:t>
      </w:r>
      <w:r>
        <w:rPr>
          <w:color w:val="auto"/>
          <w:sz w:val="32"/>
          <w:szCs w:val="32"/>
        </w:rPr>
        <w:t xml:space="preserve"> </w:t>
      </w:r>
      <w:r w:rsidRPr="004D5920">
        <w:rPr>
          <w:color w:val="auto"/>
          <w:sz w:val="32"/>
          <w:szCs w:val="32"/>
        </w:rPr>
        <w:t>préserver les propriétés physico-ch</w:t>
      </w:r>
      <w:r>
        <w:rPr>
          <w:color w:val="auto"/>
          <w:sz w:val="32"/>
          <w:szCs w:val="32"/>
        </w:rPr>
        <w:t xml:space="preserve">imiques et biologiques des sols </w:t>
      </w:r>
      <w:r w:rsidRPr="004D5920">
        <w:rPr>
          <w:color w:val="auto"/>
          <w:sz w:val="32"/>
          <w:szCs w:val="32"/>
        </w:rPr>
        <w:t>est un enjeu majeur pour une a</w:t>
      </w:r>
      <w:r>
        <w:rPr>
          <w:color w:val="auto"/>
          <w:sz w:val="32"/>
          <w:szCs w:val="32"/>
        </w:rPr>
        <w:t>ppellation d’origine contrôlée.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Gestion des effluents et des déchets</w:t>
      </w:r>
      <w:r>
        <w:rPr>
          <w:color w:val="auto"/>
          <w:sz w:val="32"/>
          <w:szCs w:val="32"/>
        </w:rPr>
        <w:t xml:space="preserve"> : l’exploitation met en œuvre </w:t>
      </w:r>
      <w:r w:rsidRPr="004D5920">
        <w:rPr>
          <w:color w:val="auto"/>
          <w:sz w:val="32"/>
          <w:szCs w:val="32"/>
        </w:rPr>
        <w:t>des solutions permettant de ré</w:t>
      </w:r>
      <w:r>
        <w:rPr>
          <w:color w:val="auto"/>
          <w:sz w:val="32"/>
          <w:szCs w:val="32"/>
        </w:rPr>
        <w:t xml:space="preserve">duire sa production de déchets. </w:t>
      </w:r>
      <w:r w:rsidRPr="004D5920">
        <w:rPr>
          <w:color w:val="auto"/>
          <w:sz w:val="32"/>
          <w:szCs w:val="32"/>
        </w:rPr>
        <w:t xml:space="preserve">Les déchets néanmoins générés </w:t>
      </w:r>
      <w:r>
        <w:rPr>
          <w:color w:val="auto"/>
          <w:sz w:val="32"/>
          <w:szCs w:val="32"/>
        </w:rPr>
        <w:t xml:space="preserve">sont valorisés dans une logique </w:t>
      </w:r>
      <w:r w:rsidRPr="004D5920">
        <w:rPr>
          <w:color w:val="auto"/>
          <w:sz w:val="32"/>
          <w:szCs w:val="32"/>
        </w:rPr>
        <w:t>d’économie circulaire.</w:t>
      </w: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</w:p>
    <w:p w:rsidR="00A568DF" w:rsidRPr="004D5920" w:rsidRDefault="00A568DF" w:rsidP="00A568DF">
      <w:pPr>
        <w:pStyle w:val="Default"/>
        <w:jc w:val="both"/>
        <w:rPr>
          <w:color w:val="auto"/>
          <w:sz w:val="32"/>
          <w:szCs w:val="32"/>
        </w:rPr>
      </w:pPr>
      <w:r w:rsidRPr="00B21E29">
        <w:rPr>
          <w:i/>
          <w:color w:val="auto"/>
          <w:sz w:val="32"/>
          <w:szCs w:val="32"/>
          <w:u w:val="single"/>
        </w:rPr>
        <w:t>Réduction de l’empreinte carbone</w:t>
      </w:r>
      <w:r>
        <w:rPr>
          <w:color w:val="auto"/>
          <w:sz w:val="32"/>
          <w:szCs w:val="32"/>
        </w:rPr>
        <w:t xml:space="preserve"> : depuis 15 ans, la Champagne </w:t>
      </w:r>
      <w:r w:rsidRPr="004D5920">
        <w:rPr>
          <w:color w:val="auto"/>
          <w:sz w:val="32"/>
          <w:szCs w:val="32"/>
        </w:rPr>
        <w:t xml:space="preserve">a réduit de 20% son </w:t>
      </w:r>
      <w:r>
        <w:rPr>
          <w:color w:val="auto"/>
          <w:sz w:val="32"/>
          <w:szCs w:val="32"/>
        </w:rPr>
        <w:t xml:space="preserve">empreinte carbone par bouteille </w:t>
      </w:r>
      <w:r w:rsidRPr="004D5920">
        <w:rPr>
          <w:color w:val="auto"/>
          <w:sz w:val="32"/>
          <w:szCs w:val="32"/>
        </w:rPr>
        <w:t>commercialisée. Ce résultat fait de la Champagne une fili</w:t>
      </w:r>
      <w:r>
        <w:rPr>
          <w:color w:val="auto"/>
          <w:sz w:val="32"/>
          <w:szCs w:val="32"/>
        </w:rPr>
        <w:t xml:space="preserve">ère </w:t>
      </w:r>
      <w:r w:rsidRPr="004D5920">
        <w:rPr>
          <w:color w:val="auto"/>
          <w:sz w:val="32"/>
          <w:szCs w:val="32"/>
        </w:rPr>
        <w:t>pionnière en matière de réduction des émi</w:t>
      </w:r>
      <w:r>
        <w:rPr>
          <w:color w:val="auto"/>
          <w:sz w:val="32"/>
          <w:szCs w:val="32"/>
        </w:rPr>
        <w:t xml:space="preserve">ssions de gaz à effet de serre. Objectif : </w:t>
      </w:r>
      <w:r w:rsidRPr="004D5920">
        <w:rPr>
          <w:color w:val="auto"/>
          <w:sz w:val="32"/>
          <w:szCs w:val="32"/>
        </w:rPr>
        <w:t>atteindre 25% de réduction en 2025 et 75% à l’horizon 2050.</w:t>
      </w:r>
    </w:p>
    <w:p w:rsidR="006E0410" w:rsidRDefault="006E0410" w:rsidP="00A568DF">
      <w:pPr>
        <w:pStyle w:val="Default"/>
        <w:spacing w:line="276" w:lineRule="auto"/>
        <w:jc w:val="both"/>
      </w:pPr>
    </w:p>
    <w:sectPr w:rsidR="006E0410" w:rsidSect="00526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543"/>
    <w:multiLevelType w:val="hybridMultilevel"/>
    <w:tmpl w:val="6C9CFCCC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7893DE6"/>
    <w:multiLevelType w:val="hybridMultilevel"/>
    <w:tmpl w:val="C83899CC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9871EBD"/>
    <w:multiLevelType w:val="hybridMultilevel"/>
    <w:tmpl w:val="81C87A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18F"/>
    <w:multiLevelType w:val="hybridMultilevel"/>
    <w:tmpl w:val="CECC13AC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56F7DBD"/>
    <w:multiLevelType w:val="hybridMultilevel"/>
    <w:tmpl w:val="C3E48CD0"/>
    <w:lvl w:ilvl="0" w:tplc="68564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928"/>
    <w:multiLevelType w:val="hybridMultilevel"/>
    <w:tmpl w:val="84A406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D1F"/>
    <w:multiLevelType w:val="hybridMultilevel"/>
    <w:tmpl w:val="B052E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0F8A"/>
    <w:multiLevelType w:val="hybridMultilevel"/>
    <w:tmpl w:val="96AA60D6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7C0B14CD"/>
    <w:multiLevelType w:val="hybridMultilevel"/>
    <w:tmpl w:val="8A5A158A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7EAF5943"/>
    <w:multiLevelType w:val="hybridMultilevel"/>
    <w:tmpl w:val="5756D0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3"/>
    <w:rsid w:val="00526593"/>
    <w:rsid w:val="005C6C5A"/>
    <w:rsid w:val="006672BE"/>
    <w:rsid w:val="006E0410"/>
    <w:rsid w:val="00951652"/>
    <w:rsid w:val="00A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6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6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2020-11-12T15:58:00Z</dcterms:created>
  <dcterms:modified xsi:type="dcterms:W3CDTF">2020-11-12T15:58:00Z</dcterms:modified>
</cp:coreProperties>
</file>