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9C" w:rsidRDefault="00702DBC">
      <w:bookmarkStart w:id="0" w:name="_GoBack"/>
      <w:bookmarkEnd w:id="0"/>
      <w:r>
        <w:rPr>
          <w:noProof/>
          <w:lang w:eastAsia="fr-FR"/>
        </w:rPr>
        <w:drawing>
          <wp:anchor distT="0" distB="0" distL="114300" distR="114300" simplePos="0" relativeHeight="251657216" behindDoc="0" locked="0" layoutInCell="1" allowOverlap="1">
            <wp:simplePos x="0" y="0"/>
            <wp:positionH relativeFrom="margin">
              <wp:posOffset>-280670</wp:posOffset>
            </wp:positionH>
            <wp:positionV relativeFrom="margin">
              <wp:posOffset>-518795</wp:posOffset>
            </wp:positionV>
            <wp:extent cx="1254125" cy="1419225"/>
            <wp:effectExtent l="0" t="0" r="3175" b="9525"/>
            <wp:wrapSquare wrapText="bothSides"/>
            <wp:docPr id="2" name="Image 2" descr="RÃ©sultat de recherche d'images pour &quot;chambre d'agriculture du vignoble champeno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hambre d'agriculture du vignoble champenoi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1419225"/>
                    </a:xfrm>
                    <a:prstGeom prst="rect">
                      <a:avLst/>
                    </a:prstGeom>
                    <a:noFill/>
                    <a:ln>
                      <a:noFill/>
                    </a:ln>
                  </pic:spPr>
                </pic:pic>
              </a:graphicData>
            </a:graphic>
          </wp:anchor>
        </w:drawing>
      </w:r>
      <w:r w:rsidR="00EB1308">
        <w:rPr>
          <w:noProof/>
          <w:lang w:eastAsia="fr-FR"/>
        </w:rPr>
        <mc:AlternateContent>
          <mc:Choice Requires="wps">
            <w:drawing>
              <wp:anchor distT="0" distB="0" distL="114300" distR="114300" simplePos="0" relativeHeight="251658240" behindDoc="1" locked="0" layoutInCell="1" allowOverlap="1">
                <wp:simplePos x="0" y="0"/>
                <wp:positionH relativeFrom="column">
                  <wp:posOffset>353060</wp:posOffset>
                </wp:positionH>
                <wp:positionV relativeFrom="paragraph">
                  <wp:posOffset>-242570</wp:posOffset>
                </wp:positionV>
                <wp:extent cx="4743450" cy="866775"/>
                <wp:effectExtent l="0" t="0" r="19050" b="2857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866775"/>
                        </a:xfrm>
                        <a:prstGeom prst="roundRect">
                          <a:avLst>
                            <a:gd name="adj" fmla="val 16667"/>
                          </a:avLst>
                        </a:prstGeom>
                        <a:solidFill>
                          <a:srgbClr val="8EC632"/>
                        </a:solidFill>
                        <a:ln w="19050">
                          <a:solidFill>
                            <a:srgbClr val="000000"/>
                          </a:solidFill>
                          <a:round/>
                          <a:headEnd/>
                          <a:tailEnd/>
                        </a:ln>
                      </wps:spPr>
                      <wps:txbx>
                        <w:txbxContent>
                          <w:p w:rsidR="001F042F" w:rsidRDefault="001F042F" w:rsidP="00A9059C">
                            <w:pPr>
                              <w:spacing w:after="0" w:line="240" w:lineRule="auto"/>
                              <w:jc w:val="center"/>
                              <w:rPr>
                                <w:rFonts w:ascii="Arial" w:hAnsi="Arial" w:cs="Arial"/>
                                <w:b/>
                                <w:sz w:val="30"/>
                                <w:szCs w:val="30"/>
                              </w:rPr>
                            </w:pPr>
                            <w:r>
                              <w:rPr>
                                <w:rFonts w:ascii="Arial" w:hAnsi="Arial" w:cs="Arial"/>
                                <w:b/>
                                <w:sz w:val="30"/>
                                <w:szCs w:val="30"/>
                              </w:rPr>
                              <w:t>SE PREPARER A L’AUDIT : DOCUMENTS A RASSEMBLER</w:t>
                            </w:r>
                          </w:p>
                          <w:p w:rsidR="001F042F" w:rsidRPr="0011234A" w:rsidRDefault="001F042F" w:rsidP="00A9059C">
                            <w:pPr>
                              <w:spacing w:after="0" w:line="240" w:lineRule="auto"/>
                              <w:jc w:val="center"/>
                              <w:rPr>
                                <w:rFonts w:ascii="Arial" w:hAnsi="Arial" w:cs="Arial"/>
                                <w:b/>
                                <w:sz w:val="30"/>
                                <w:szCs w:val="30"/>
                              </w:rPr>
                            </w:pPr>
                            <w:r>
                              <w:rPr>
                                <w:rFonts w:ascii="Arial" w:hAnsi="Arial" w:cs="Arial"/>
                                <w:b/>
                                <w:sz w:val="30"/>
                                <w:szCs w:val="30"/>
                              </w:rPr>
                              <w:t>Etape 3 : J’agis pour la Champagne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6" style="position:absolute;margin-left:27.8pt;margin-top:-19.1pt;width:373.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" fillcolor="#8ec632" strokeweight="1.5pt">
                <v:textbox>
                  <w:txbxContent>
                    <w:p w:rsidR="001F042F" w:rsidRDefault="001F042F" w:rsidP="00A9059C">
                      <w:pPr>
                        <w:spacing w:after="0" w:line="240" w:lineRule="auto"/>
                        <w:jc w:val="center"/>
                        <w:rPr>
                          <w:rFonts w:ascii="Arial" w:hAnsi="Arial" w:cs="Arial"/>
                          <w:b/>
                          <w:sz w:val="30"/>
                          <w:szCs w:val="30"/>
                        </w:rPr>
                      </w:pPr>
                      <w:r>
                        <w:rPr>
                          <w:rFonts w:ascii="Arial" w:hAnsi="Arial" w:cs="Arial"/>
                          <w:b/>
                          <w:sz w:val="30"/>
                          <w:szCs w:val="30"/>
                        </w:rPr>
                        <w:t>SE PREPARER A L’AUDIT : DOCUMENTS A RASSEMBLER</w:t>
                      </w:r>
                    </w:p>
                    <w:p w:rsidR="001F042F" w:rsidRPr="0011234A" w:rsidRDefault="001F042F" w:rsidP="00A9059C">
                      <w:pPr>
                        <w:spacing w:after="0" w:line="240" w:lineRule="auto"/>
                        <w:jc w:val="center"/>
                        <w:rPr>
                          <w:rFonts w:ascii="Arial" w:hAnsi="Arial" w:cs="Arial"/>
                          <w:b/>
                          <w:sz w:val="30"/>
                          <w:szCs w:val="30"/>
                        </w:rPr>
                      </w:pPr>
                      <w:r>
                        <w:rPr>
                          <w:rFonts w:ascii="Arial" w:hAnsi="Arial" w:cs="Arial"/>
                          <w:b/>
                          <w:sz w:val="30"/>
                          <w:szCs w:val="30"/>
                        </w:rPr>
                        <w:t>Etape 3 : J’agis pour la Champagne</w:t>
                      </w:r>
                    </w:p>
                  </w:txbxContent>
                </v:textbox>
              </v:roundrect>
            </w:pict>
          </mc:Fallback>
        </mc:AlternateContent>
      </w:r>
    </w:p>
    <w:p w:rsidR="00A9059C" w:rsidRPr="00A9059C" w:rsidRDefault="00A9059C" w:rsidP="00A9059C"/>
    <w:p w:rsidR="0010510F" w:rsidRDefault="0010510F" w:rsidP="00A9059C"/>
    <w:tbl>
      <w:tblPr>
        <w:tblStyle w:val="Grilledutableau"/>
        <w:tblpPr w:leftFromText="141" w:rightFromText="141" w:vertAnchor="text" w:horzAnchor="margin" w:tblpY="238"/>
        <w:tblW w:w="9588" w:type="dxa"/>
        <w:tblLook w:val="04A0" w:firstRow="1" w:lastRow="0" w:firstColumn="1" w:lastColumn="0" w:noHBand="0" w:noVBand="1"/>
      </w:tblPr>
      <w:tblGrid>
        <w:gridCol w:w="4794"/>
        <w:gridCol w:w="4794"/>
      </w:tblGrid>
      <w:tr w:rsidR="007032F9" w:rsidTr="007032F9">
        <w:trPr>
          <w:trHeight w:val="660"/>
        </w:trPr>
        <w:tc>
          <w:tcPr>
            <w:tcW w:w="4794" w:type="dxa"/>
            <w:vAlign w:val="center"/>
          </w:tcPr>
          <w:p w:rsidR="007032F9" w:rsidRPr="00704B3F" w:rsidRDefault="007032F9" w:rsidP="007032F9">
            <w:pPr>
              <w:jc w:val="center"/>
              <w:rPr>
                <w:b/>
              </w:rPr>
            </w:pPr>
            <w:r w:rsidRPr="00704B3F">
              <w:rPr>
                <w:b/>
                <w:sz w:val="28"/>
              </w:rPr>
              <w:t>Exigence</w:t>
            </w:r>
          </w:p>
        </w:tc>
        <w:tc>
          <w:tcPr>
            <w:tcW w:w="4794" w:type="dxa"/>
            <w:vAlign w:val="center"/>
          </w:tcPr>
          <w:p w:rsidR="007032F9" w:rsidRPr="00A9059C" w:rsidRDefault="007032F9" w:rsidP="007032F9">
            <w:pPr>
              <w:jc w:val="center"/>
              <w:rPr>
                <w:b/>
              </w:rPr>
            </w:pPr>
            <w:r w:rsidRPr="00A9059C">
              <w:rPr>
                <w:b/>
                <w:sz w:val="28"/>
              </w:rPr>
              <w:t>Documents admis</w:t>
            </w:r>
          </w:p>
        </w:tc>
      </w:tr>
      <w:tr w:rsidR="007032F9" w:rsidTr="007032F9">
        <w:trPr>
          <w:trHeight w:val="488"/>
        </w:trPr>
        <w:tc>
          <w:tcPr>
            <w:tcW w:w="4794" w:type="dxa"/>
            <w:vAlign w:val="center"/>
          </w:tcPr>
          <w:p w:rsidR="007032F9" w:rsidRPr="00F33A12" w:rsidRDefault="007032F9" w:rsidP="007032F9">
            <w:pPr>
              <w:rPr>
                <w:rFonts w:cstheme="minorHAnsi"/>
                <w:sz w:val="24"/>
                <w:szCs w:val="24"/>
              </w:rPr>
            </w:pPr>
            <w:r w:rsidRPr="00F33A12">
              <w:rPr>
                <w:rFonts w:cstheme="minorHAnsi"/>
                <w:b/>
              </w:rPr>
              <w:t>15 :</w:t>
            </w:r>
            <w:r>
              <w:rPr>
                <w:rFonts w:cstheme="minorHAnsi"/>
              </w:rPr>
              <w:t xml:space="preserve"> </w:t>
            </w:r>
            <w:r w:rsidRPr="00F33A12">
              <w:rPr>
                <w:rFonts w:cstheme="minorHAnsi"/>
              </w:rPr>
              <w:t>L’exploitant se forme régulièrement aux principes et méthodes de la viticultur</w:t>
            </w:r>
            <w:r>
              <w:rPr>
                <w:rFonts w:cstheme="minorHAnsi"/>
              </w:rPr>
              <w:t>e durable. Il sensibilise et in</w:t>
            </w:r>
            <w:r w:rsidRPr="00F33A12">
              <w:rPr>
                <w:rFonts w:cstheme="minorHAnsi"/>
              </w:rPr>
              <w:t>forme le personnel salarié (permanent et saisonnier) aux objectifs et aux pratiques de la viticulture durable.</w:t>
            </w:r>
          </w:p>
        </w:tc>
        <w:tc>
          <w:tcPr>
            <w:tcW w:w="4794" w:type="dxa"/>
            <w:vAlign w:val="center"/>
          </w:tcPr>
          <w:p w:rsidR="007032F9" w:rsidRDefault="007032F9" w:rsidP="007032F9">
            <w:r>
              <w:t>-Attestation de stage</w:t>
            </w:r>
          </w:p>
          <w:p w:rsidR="007032F9" w:rsidRDefault="007032F9" w:rsidP="007032F9">
            <w:r>
              <w:t>-Copie de feuille de présence</w:t>
            </w:r>
          </w:p>
          <w:p w:rsidR="007032F9" w:rsidRDefault="007032F9" w:rsidP="007032F9">
            <w:r>
              <w:t>-Livret d’accueil des salariés</w:t>
            </w:r>
            <w:r w:rsidR="00AB7683">
              <w:t xml:space="preserve"> (recommandé : fiche d’émargement)</w:t>
            </w:r>
          </w:p>
        </w:tc>
      </w:tr>
      <w:tr w:rsidR="007032F9" w:rsidTr="007032F9">
        <w:trPr>
          <w:trHeight w:val="517"/>
        </w:trPr>
        <w:tc>
          <w:tcPr>
            <w:tcW w:w="4794" w:type="dxa"/>
            <w:vAlign w:val="center"/>
          </w:tcPr>
          <w:p w:rsidR="007032F9" w:rsidRPr="00F33A12" w:rsidRDefault="007032F9" w:rsidP="007032F9">
            <w:pPr>
              <w:rPr>
                <w:rFonts w:cstheme="minorHAnsi"/>
                <w:sz w:val="24"/>
                <w:szCs w:val="24"/>
              </w:rPr>
            </w:pPr>
            <w:r w:rsidRPr="00F33A12">
              <w:rPr>
                <w:rFonts w:cstheme="minorHAnsi"/>
                <w:b/>
              </w:rPr>
              <w:t>16 :</w:t>
            </w:r>
            <w:r>
              <w:rPr>
                <w:rFonts w:cstheme="minorHAnsi"/>
              </w:rPr>
              <w:t xml:space="preserve"> </w:t>
            </w:r>
            <w:r w:rsidRPr="00F33A12">
              <w:rPr>
                <w:rFonts w:cstheme="minorHAnsi"/>
              </w:rPr>
              <w:t>L’exploitant dispose d’une liste à jour des matériels porteurs et de traction, ainsi que des matériels destinés à la pulvérisation, à l’entretien du sol et à l'épandage des fertilisants.</w:t>
            </w:r>
          </w:p>
        </w:tc>
        <w:tc>
          <w:tcPr>
            <w:tcW w:w="4794" w:type="dxa"/>
            <w:vAlign w:val="center"/>
          </w:tcPr>
          <w:p w:rsidR="007032F9" w:rsidRDefault="00AB7683" w:rsidP="007032F9">
            <w:r>
              <w:t>-</w:t>
            </w:r>
            <w:r w:rsidR="007032F9">
              <w:t xml:space="preserve">Liste du matériel </w:t>
            </w:r>
          </w:p>
        </w:tc>
      </w:tr>
      <w:tr w:rsidR="007032F9" w:rsidTr="007032F9">
        <w:trPr>
          <w:trHeight w:val="517"/>
        </w:trPr>
        <w:tc>
          <w:tcPr>
            <w:tcW w:w="4794" w:type="dxa"/>
            <w:vAlign w:val="center"/>
          </w:tcPr>
          <w:p w:rsidR="007032F9" w:rsidRPr="00F33A12" w:rsidRDefault="007032F9" w:rsidP="007032F9">
            <w:pPr>
              <w:rPr>
                <w:rFonts w:cstheme="minorHAnsi"/>
                <w:sz w:val="24"/>
                <w:szCs w:val="24"/>
              </w:rPr>
            </w:pPr>
            <w:r w:rsidRPr="00F33A12">
              <w:rPr>
                <w:rFonts w:cstheme="minorHAnsi"/>
                <w:b/>
              </w:rPr>
              <w:t>18 :</w:t>
            </w:r>
            <w:r>
              <w:rPr>
                <w:rFonts w:cstheme="minorHAnsi"/>
              </w:rPr>
              <w:t xml:space="preserve"> </w:t>
            </w:r>
            <w:r w:rsidRPr="00F33A12">
              <w:rPr>
                <w:rFonts w:cstheme="minorHAnsi"/>
              </w:rPr>
              <w:t>L’exploitant cherche à identifier les zones où il est possible d’installer des haies arbustives pour favoriser la biodiversité, les continuités écologiques et limiter les risques de transfert, en particulier en bordure de points d’eau.</w:t>
            </w:r>
          </w:p>
        </w:tc>
        <w:tc>
          <w:tcPr>
            <w:tcW w:w="4794" w:type="dxa"/>
            <w:vAlign w:val="center"/>
          </w:tcPr>
          <w:p w:rsidR="007032F9" w:rsidRDefault="00AB7683" w:rsidP="007032F9">
            <w:r>
              <w:t xml:space="preserve">-Cartographie </w:t>
            </w:r>
            <w:r w:rsidR="007032F9">
              <w:t>de l’exploitation</w:t>
            </w:r>
          </w:p>
          <w:p w:rsidR="007032F9" w:rsidRDefault="007032F9" w:rsidP="007032F9"/>
        </w:tc>
      </w:tr>
      <w:tr w:rsidR="007032F9" w:rsidTr="007032F9">
        <w:trPr>
          <w:trHeight w:val="488"/>
        </w:trPr>
        <w:tc>
          <w:tcPr>
            <w:tcW w:w="4794" w:type="dxa"/>
            <w:vAlign w:val="center"/>
          </w:tcPr>
          <w:p w:rsidR="007032F9" w:rsidRPr="00F33A12" w:rsidRDefault="007032F9" w:rsidP="007032F9">
            <w:pPr>
              <w:rPr>
                <w:rFonts w:cstheme="minorHAnsi"/>
                <w:sz w:val="24"/>
                <w:szCs w:val="24"/>
              </w:rPr>
            </w:pPr>
            <w:r w:rsidRPr="00F33A12">
              <w:rPr>
                <w:rFonts w:cstheme="minorHAnsi"/>
                <w:b/>
              </w:rPr>
              <w:t>19 :</w:t>
            </w:r>
            <w:r>
              <w:rPr>
                <w:rFonts w:cstheme="minorHAnsi"/>
              </w:rPr>
              <w:t xml:space="preserve"> </w:t>
            </w:r>
            <w:r w:rsidRPr="00F33A12">
              <w:rPr>
                <w:rFonts w:cstheme="minorHAnsi"/>
              </w:rPr>
              <w:t>Lors de l'implantation de haies ou de mélanges fleuris, l'exploitant utilise des espèces locales.</w:t>
            </w:r>
          </w:p>
        </w:tc>
        <w:tc>
          <w:tcPr>
            <w:tcW w:w="4794" w:type="dxa"/>
            <w:vAlign w:val="center"/>
          </w:tcPr>
          <w:p w:rsidR="007032F9" w:rsidRDefault="007032F9" w:rsidP="007032F9">
            <w:r>
              <w:t>-Factures des plants/semences</w:t>
            </w:r>
          </w:p>
        </w:tc>
      </w:tr>
      <w:tr w:rsidR="007032F9" w:rsidTr="007032F9">
        <w:trPr>
          <w:trHeight w:val="517"/>
        </w:trPr>
        <w:tc>
          <w:tcPr>
            <w:tcW w:w="4794" w:type="dxa"/>
            <w:vAlign w:val="center"/>
          </w:tcPr>
          <w:p w:rsidR="007032F9" w:rsidRPr="00F33A12" w:rsidRDefault="007032F9" w:rsidP="007032F9">
            <w:pPr>
              <w:rPr>
                <w:rFonts w:cstheme="minorHAnsi"/>
                <w:sz w:val="24"/>
                <w:szCs w:val="24"/>
              </w:rPr>
            </w:pPr>
            <w:r w:rsidRPr="00F33A12">
              <w:rPr>
                <w:rFonts w:cstheme="minorHAnsi"/>
                <w:b/>
              </w:rPr>
              <w:t>20 :</w:t>
            </w:r>
            <w:r>
              <w:rPr>
                <w:rFonts w:cstheme="minorHAnsi"/>
              </w:rPr>
              <w:t xml:space="preserve"> </w:t>
            </w:r>
            <w:r w:rsidRPr="00F33A12">
              <w:rPr>
                <w:rFonts w:cstheme="minorHAnsi"/>
              </w:rPr>
              <w:t>L’exploitant réduit l’utilisation des produits phytosanitaires conformément aux objectifs du plan Ecophyto.  Pour atteindre les objectifs de réduction de l'IFT Herbicides et Hors Herbicides, il peut mettre en œuv</w:t>
            </w:r>
            <w:r>
              <w:rPr>
                <w:rFonts w:cstheme="minorHAnsi"/>
              </w:rPr>
              <w:t>re les pra</w:t>
            </w:r>
            <w:r w:rsidRPr="00F33A12">
              <w:rPr>
                <w:rFonts w:cstheme="minorHAnsi"/>
              </w:rPr>
              <w:t xml:space="preserve">tiques et techniques suivantes: </w:t>
            </w:r>
            <w:r w:rsidRPr="00F33A12">
              <w:rPr>
                <w:rFonts w:cstheme="minorHAnsi"/>
              </w:rPr>
              <w:br/>
              <w:t xml:space="preserve">• modulation des traitements selon la pression sanitaire </w:t>
            </w:r>
            <w:r w:rsidRPr="00F33A12">
              <w:rPr>
                <w:rFonts w:cstheme="minorHAnsi"/>
              </w:rPr>
              <w:br/>
              <w:t xml:space="preserve">• méthodes alternatives à la lutte chimique (physique ou biocontrole) </w:t>
            </w:r>
            <w:r w:rsidRPr="00F33A12">
              <w:rPr>
                <w:rFonts w:cstheme="minorHAnsi"/>
              </w:rPr>
              <w:br/>
              <w:t xml:space="preserve">• adaptation des doses des produits phytosanitaires à la hauteur du feuillage  </w:t>
            </w:r>
            <w:r w:rsidRPr="00F33A12">
              <w:rPr>
                <w:rFonts w:cstheme="minorHAnsi"/>
              </w:rPr>
              <w:br/>
              <w:t>• adaptation des doses à la surface réellement traitée</w:t>
            </w:r>
          </w:p>
        </w:tc>
        <w:tc>
          <w:tcPr>
            <w:tcW w:w="4794" w:type="dxa"/>
            <w:vAlign w:val="center"/>
          </w:tcPr>
          <w:p w:rsidR="00AB7683" w:rsidRDefault="00AB7683" w:rsidP="007032F9">
            <w:r>
              <w:t>-Calcul des IFT (Herbicides et hors herbicides)</w:t>
            </w:r>
          </w:p>
          <w:p w:rsidR="007032F9" w:rsidRDefault="00AB7683" w:rsidP="007032F9">
            <w:r>
              <w:t>- Synthèse pluri</w:t>
            </w:r>
            <w:r w:rsidR="007032F9">
              <w:t>annuelle des IFT</w:t>
            </w:r>
          </w:p>
        </w:tc>
      </w:tr>
      <w:tr w:rsidR="007032F9" w:rsidTr="007032F9">
        <w:trPr>
          <w:trHeight w:val="517"/>
        </w:trPr>
        <w:tc>
          <w:tcPr>
            <w:tcW w:w="4794" w:type="dxa"/>
            <w:vAlign w:val="center"/>
          </w:tcPr>
          <w:p w:rsidR="007032F9" w:rsidRPr="00F33A12" w:rsidRDefault="007032F9" w:rsidP="007032F9">
            <w:pPr>
              <w:rPr>
                <w:rFonts w:cstheme="minorHAnsi"/>
                <w:sz w:val="24"/>
                <w:szCs w:val="24"/>
              </w:rPr>
            </w:pPr>
            <w:r w:rsidRPr="00FF04A7">
              <w:rPr>
                <w:rFonts w:cstheme="minorHAnsi"/>
                <w:b/>
              </w:rPr>
              <w:t>21 :</w:t>
            </w:r>
            <w:r>
              <w:rPr>
                <w:rFonts w:cstheme="minorHAnsi"/>
              </w:rPr>
              <w:t xml:space="preserve"> </w:t>
            </w:r>
            <w:r w:rsidRPr="00F33A12">
              <w:rPr>
                <w:rFonts w:cstheme="minorHAnsi"/>
              </w:rPr>
              <w:t>Afin de diminuer l'entassement de la végétation, la taille de la vigne est adaptée à chaque situation et respecte l’intégralité de la réglementation en vigueur. Dans cet objectif, l’ébourgeonnage (épamprage), le relevage et le palissage sont réalisés.</w:t>
            </w:r>
          </w:p>
        </w:tc>
        <w:tc>
          <w:tcPr>
            <w:tcW w:w="4794" w:type="dxa"/>
            <w:vAlign w:val="center"/>
          </w:tcPr>
          <w:p w:rsidR="007032F9" w:rsidRDefault="007032F9" w:rsidP="007032F9">
            <w:r>
              <w:t>-</w:t>
            </w:r>
            <w:r w:rsidR="00AB7683">
              <w:t xml:space="preserve">Cahier d’exploitation (traçabilité) : </w:t>
            </w:r>
            <w:r>
              <w:t>Enregistrement des pratiques, des travaux</w:t>
            </w:r>
          </w:p>
        </w:tc>
      </w:tr>
      <w:tr w:rsidR="007032F9" w:rsidTr="007032F9">
        <w:trPr>
          <w:trHeight w:val="488"/>
        </w:trPr>
        <w:tc>
          <w:tcPr>
            <w:tcW w:w="4794" w:type="dxa"/>
            <w:vAlign w:val="center"/>
          </w:tcPr>
          <w:p w:rsidR="007032F9" w:rsidRPr="00F33A12" w:rsidRDefault="007032F9" w:rsidP="007032F9">
            <w:pPr>
              <w:rPr>
                <w:rFonts w:cstheme="minorHAnsi"/>
                <w:sz w:val="24"/>
                <w:szCs w:val="24"/>
              </w:rPr>
            </w:pPr>
            <w:r w:rsidRPr="00FF04A7">
              <w:rPr>
                <w:rFonts w:cstheme="minorHAnsi"/>
                <w:b/>
              </w:rPr>
              <w:t>22 :</w:t>
            </w:r>
            <w:r>
              <w:rPr>
                <w:rFonts w:cstheme="minorHAnsi"/>
              </w:rPr>
              <w:t xml:space="preserve"> </w:t>
            </w:r>
            <w:r w:rsidRPr="00FF04A7">
              <w:rPr>
                <w:rFonts w:cstheme="minorHAnsi"/>
              </w:rPr>
              <w:t xml:space="preserve">Pour limiter le développement des maladies, en particulier le botrytis et l'oïdium, la zone des grappes est aérée. Sur les parcelles sensibles, un effeuillage précoce (mécanique ou manuel) ou un cisaillage manuel dans la zone des grappes est </w:t>
            </w:r>
            <w:r w:rsidRPr="00FF04A7">
              <w:rPr>
                <w:rFonts w:cstheme="minorHAnsi"/>
              </w:rPr>
              <w:lastRenderedPageBreak/>
              <w:t>réalisé.</w:t>
            </w:r>
          </w:p>
        </w:tc>
        <w:tc>
          <w:tcPr>
            <w:tcW w:w="4794" w:type="dxa"/>
            <w:vAlign w:val="center"/>
          </w:tcPr>
          <w:p w:rsidR="007032F9" w:rsidRDefault="00AB7683" w:rsidP="007032F9">
            <w:r>
              <w:lastRenderedPageBreak/>
              <w:t>-Cahier d’exploitation (traçabilité) : Enregistrement des pratiques, des travaux</w:t>
            </w:r>
          </w:p>
        </w:tc>
      </w:tr>
      <w:tr w:rsidR="007032F9" w:rsidTr="007032F9">
        <w:trPr>
          <w:trHeight w:val="517"/>
        </w:trPr>
        <w:tc>
          <w:tcPr>
            <w:tcW w:w="4794" w:type="dxa"/>
            <w:vAlign w:val="center"/>
          </w:tcPr>
          <w:p w:rsidR="007032F9" w:rsidRPr="00FF04A7" w:rsidRDefault="007032F9" w:rsidP="007032F9">
            <w:pPr>
              <w:rPr>
                <w:rFonts w:cstheme="minorHAnsi"/>
                <w:sz w:val="24"/>
                <w:szCs w:val="24"/>
              </w:rPr>
            </w:pPr>
            <w:r w:rsidRPr="00FF04A7">
              <w:rPr>
                <w:rFonts w:cstheme="minorHAnsi"/>
                <w:b/>
              </w:rPr>
              <w:lastRenderedPageBreak/>
              <w:t>23 :</w:t>
            </w:r>
            <w:r>
              <w:rPr>
                <w:rFonts w:cstheme="minorHAnsi"/>
              </w:rPr>
              <w:t xml:space="preserve"> </w:t>
            </w:r>
            <w:r w:rsidRPr="00FF04A7">
              <w:rPr>
                <w:rFonts w:cstheme="minorHAnsi"/>
              </w:rPr>
              <w:t xml:space="preserve">De l'arrachage de la vigne jusqu'à la deuxième feuille, seules les pratiques mécaniques d'entretien des sols (désherbage mécanique et couverts végétaux) sont autorisées. </w:t>
            </w:r>
          </w:p>
        </w:tc>
        <w:tc>
          <w:tcPr>
            <w:tcW w:w="4794" w:type="dxa"/>
            <w:vAlign w:val="center"/>
          </w:tcPr>
          <w:p w:rsidR="007032F9" w:rsidRDefault="007032F9" w:rsidP="007032F9">
            <w:r>
              <w:t>-Déclaration d’arrachage et de plantation</w:t>
            </w:r>
          </w:p>
          <w:p w:rsidR="007032F9" w:rsidRDefault="00AB7683" w:rsidP="00AB7683">
            <w:r>
              <w:t>- Cahier d’exploitation (traçabilité) : Enregistrement des pratiques, des travaux</w:t>
            </w:r>
          </w:p>
        </w:tc>
      </w:tr>
      <w:tr w:rsidR="007032F9" w:rsidTr="007032F9">
        <w:trPr>
          <w:trHeight w:val="517"/>
        </w:trPr>
        <w:tc>
          <w:tcPr>
            <w:tcW w:w="4794" w:type="dxa"/>
            <w:vAlign w:val="center"/>
          </w:tcPr>
          <w:p w:rsidR="007032F9" w:rsidRPr="00FF04A7" w:rsidRDefault="007032F9" w:rsidP="007032F9">
            <w:pPr>
              <w:rPr>
                <w:rFonts w:cstheme="minorHAnsi"/>
                <w:sz w:val="24"/>
                <w:szCs w:val="24"/>
              </w:rPr>
            </w:pPr>
            <w:r w:rsidRPr="00FF04A7">
              <w:rPr>
                <w:rFonts w:cstheme="minorHAnsi"/>
                <w:b/>
              </w:rPr>
              <w:t>24 :</w:t>
            </w:r>
            <w:r>
              <w:rPr>
                <w:rFonts w:cstheme="minorHAnsi"/>
              </w:rPr>
              <w:t xml:space="preserve"> </w:t>
            </w:r>
            <w:r w:rsidRPr="00FF04A7">
              <w:rPr>
                <w:rFonts w:cstheme="minorHAnsi"/>
              </w:rPr>
              <w:t>L’exploitant adhère aux démarches collectives de protection des vignes lorsqu’elles existent, qu’il s’agisse de lutte ou de mesures préventives. Il participe, en particulier, aux opérations de confusion sexuelle dès lors qu’une démarche est initiée au niveau local.</w:t>
            </w:r>
          </w:p>
        </w:tc>
        <w:tc>
          <w:tcPr>
            <w:tcW w:w="4794" w:type="dxa"/>
            <w:vAlign w:val="center"/>
          </w:tcPr>
          <w:p w:rsidR="007032F9" w:rsidRDefault="007032F9" w:rsidP="007032F9">
            <w:r>
              <w:t>-Factures</w:t>
            </w:r>
          </w:p>
          <w:p w:rsidR="007032F9" w:rsidRDefault="00AB7683" w:rsidP="00AB7683">
            <w:r>
              <w:t>- Cahier d’exploitation (traçabilité) : pose de la confusion sexuelle</w:t>
            </w:r>
          </w:p>
        </w:tc>
      </w:tr>
      <w:tr w:rsidR="007032F9" w:rsidTr="007032F9">
        <w:trPr>
          <w:trHeight w:val="488"/>
        </w:trPr>
        <w:tc>
          <w:tcPr>
            <w:tcW w:w="4794" w:type="dxa"/>
            <w:vAlign w:val="center"/>
          </w:tcPr>
          <w:p w:rsidR="007032F9" w:rsidRPr="00FF04A7" w:rsidRDefault="007032F9" w:rsidP="007032F9">
            <w:pPr>
              <w:rPr>
                <w:rFonts w:cstheme="minorHAnsi"/>
                <w:sz w:val="24"/>
                <w:szCs w:val="24"/>
              </w:rPr>
            </w:pPr>
            <w:r w:rsidRPr="00FF04A7">
              <w:rPr>
                <w:rFonts w:cstheme="minorHAnsi"/>
                <w:b/>
              </w:rPr>
              <w:t>25 :</w:t>
            </w:r>
            <w:r>
              <w:rPr>
                <w:rFonts w:cstheme="minorHAnsi"/>
              </w:rPr>
              <w:t xml:space="preserve"> </w:t>
            </w:r>
            <w:r w:rsidRPr="00FF04A7">
              <w:rPr>
                <w:rFonts w:cstheme="minorHAnsi"/>
              </w:rPr>
              <w:t>Les plantations et entre-plantations sont réalisées avec du matériel végétal accompagné du passeport phytosanitaire (PP). Ce passeport est porteur de la mention ZPd4. Le cas échéant, l'exploitant est en mesure de fournir une attestation de traitement à l'eau chaude. Si du matériel standard est utilisé, l'exploitant met tout en œuvre pour s'assurer de l'absence de viroses (court-noué et enroulement) en ayant notamment recours à des tests ELISA.</w:t>
            </w:r>
          </w:p>
        </w:tc>
        <w:tc>
          <w:tcPr>
            <w:tcW w:w="4794" w:type="dxa"/>
            <w:vAlign w:val="center"/>
          </w:tcPr>
          <w:p w:rsidR="007032F9" w:rsidRDefault="007032F9" w:rsidP="007032F9">
            <w:r>
              <w:t>-Etiquettes bleues ou jaunes accompagnant la livraison des plants</w:t>
            </w:r>
          </w:p>
          <w:p w:rsidR="007032F9" w:rsidRDefault="007032F9" w:rsidP="007032F9">
            <w:r>
              <w:t>-Facture des plants</w:t>
            </w:r>
          </w:p>
          <w:p w:rsidR="007032F9" w:rsidRDefault="007032F9" w:rsidP="007032F9">
            <w:r>
              <w:t>-Résultats des test ELISA (négatifs) accompagnant le matériel standard</w:t>
            </w:r>
          </w:p>
        </w:tc>
      </w:tr>
      <w:tr w:rsidR="007032F9" w:rsidRPr="0002756C" w:rsidTr="007032F9">
        <w:trPr>
          <w:trHeight w:val="517"/>
        </w:trPr>
        <w:tc>
          <w:tcPr>
            <w:tcW w:w="4794" w:type="dxa"/>
            <w:vAlign w:val="center"/>
          </w:tcPr>
          <w:p w:rsidR="007032F9" w:rsidRPr="00FF04A7" w:rsidRDefault="007032F9" w:rsidP="007032F9">
            <w:pPr>
              <w:rPr>
                <w:rFonts w:cstheme="minorHAnsi"/>
                <w:sz w:val="24"/>
                <w:szCs w:val="24"/>
              </w:rPr>
            </w:pPr>
            <w:r w:rsidRPr="00FF04A7">
              <w:rPr>
                <w:rFonts w:cstheme="minorHAnsi"/>
                <w:b/>
              </w:rPr>
              <w:t>26 :</w:t>
            </w:r>
            <w:r>
              <w:rPr>
                <w:rFonts w:cstheme="minorHAnsi"/>
              </w:rPr>
              <w:t xml:space="preserve"> </w:t>
            </w:r>
            <w:r w:rsidRPr="00FF04A7">
              <w:rPr>
                <w:rFonts w:cstheme="minorHAnsi"/>
              </w:rPr>
              <w:t>L’exploitant se forme à la reconnaissance des symptômes de jaunisses (Flavescence dorée et bois noir), connait la procédure à appliquer si un pied suspect est détecté et met en place un plan de surveillance à l’échelle de l’exploitation ou participe à un plan de surveillance communal.</w:t>
            </w:r>
          </w:p>
        </w:tc>
        <w:tc>
          <w:tcPr>
            <w:tcW w:w="4794" w:type="dxa"/>
            <w:vAlign w:val="center"/>
          </w:tcPr>
          <w:p w:rsidR="007032F9" w:rsidRDefault="007032F9" w:rsidP="007032F9">
            <w:r w:rsidRPr="00DF4E07">
              <w:t>-</w:t>
            </w:r>
            <w:r>
              <w:t>Attestation de formation</w:t>
            </w:r>
          </w:p>
          <w:p w:rsidR="007032F9" w:rsidRDefault="007032F9" w:rsidP="007032F9">
            <w:r>
              <w:t>-Plan de surveillance</w:t>
            </w:r>
            <w:r w:rsidR="00AB7683">
              <w:t xml:space="preserve"> </w:t>
            </w:r>
          </w:p>
          <w:p w:rsidR="00AB7683" w:rsidRPr="00FF04A7" w:rsidRDefault="00AB7683" w:rsidP="007032F9">
            <w:r>
              <w:t>- Cahier d’exploitation (traçabilité) : Enregistrement des dates de prospection</w:t>
            </w:r>
          </w:p>
          <w:p w:rsidR="007032F9" w:rsidRPr="0002756C" w:rsidRDefault="007032F9" w:rsidP="007032F9"/>
        </w:tc>
      </w:tr>
      <w:tr w:rsidR="007032F9" w:rsidRPr="0002756C" w:rsidTr="007032F9">
        <w:trPr>
          <w:trHeight w:val="517"/>
        </w:trPr>
        <w:tc>
          <w:tcPr>
            <w:tcW w:w="4794" w:type="dxa"/>
            <w:vAlign w:val="center"/>
          </w:tcPr>
          <w:p w:rsidR="007032F9" w:rsidRPr="00FF04A7" w:rsidRDefault="007032F9" w:rsidP="007032F9">
            <w:pPr>
              <w:rPr>
                <w:rFonts w:cstheme="minorHAnsi"/>
                <w:sz w:val="24"/>
                <w:szCs w:val="24"/>
              </w:rPr>
            </w:pPr>
            <w:r w:rsidRPr="00FF04A7">
              <w:rPr>
                <w:rFonts w:cstheme="minorHAnsi"/>
                <w:b/>
              </w:rPr>
              <w:t>27 :</w:t>
            </w:r>
            <w:r>
              <w:rPr>
                <w:rFonts w:cstheme="minorHAnsi"/>
              </w:rPr>
              <w:t xml:space="preserve"> </w:t>
            </w:r>
            <w:r w:rsidRPr="00FF04A7">
              <w:rPr>
                <w:rFonts w:cstheme="minorHAnsi"/>
              </w:rPr>
              <w:t>L'exploitant respecte les conditions d'utilisation des produits phytosanitaires po</w:t>
            </w:r>
            <w:r>
              <w:rPr>
                <w:rFonts w:cstheme="minorHAnsi"/>
              </w:rPr>
              <w:t>ur limiter les risques de résis</w:t>
            </w:r>
            <w:r w:rsidRPr="00FF04A7">
              <w:rPr>
                <w:rFonts w:cstheme="minorHAnsi"/>
              </w:rPr>
              <w:t>tance.</w:t>
            </w:r>
          </w:p>
        </w:tc>
        <w:tc>
          <w:tcPr>
            <w:tcW w:w="4794" w:type="dxa"/>
            <w:vAlign w:val="center"/>
          </w:tcPr>
          <w:p w:rsidR="007032F9" w:rsidRPr="0002756C" w:rsidRDefault="007032F9" w:rsidP="007032F9">
            <w:r>
              <w:t>-</w:t>
            </w:r>
            <w:r w:rsidR="00AB7683">
              <w:t>Cahier d’exploitation (traçabilité) : Enregistrement des pratiques, des travaux</w:t>
            </w:r>
          </w:p>
        </w:tc>
      </w:tr>
      <w:tr w:rsidR="007032F9" w:rsidRPr="0002756C" w:rsidTr="007032F9">
        <w:trPr>
          <w:trHeight w:val="517"/>
        </w:trPr>
        <w:tc>
          <w:tcPr>
            <w:tcW w:w="4794" w:type="dxa"/>
            <w:vAlign w:val="center"/>
          </w:tcPr>
          <w:p w:rsidR="007032F9" w:rsidRPr="00FF04A7" w:rsidRDefault="007032F9" w:rsidP="007032F9">
            <w:pPr>
              <w:rPr>
                <w:rFonts w:cstheme="minorHAnsi"/>
                <w:sz w:val="24"/>
                <w:szCs w:val="24"/>
              </w:rPr>
            </w:pPr>
            <w:r w:rsidRPr="00FF04A7">
              <w:rPr>
                <w:rFonts w:cstheme="minorHAnsi"/>
                <w:b/>
              </w:rPr>
              <w:t>28 :</w:t>
            </w:r>
            <w:r>
              <w:rPr>
                <w:rFonts w:cstheme="minorHAnsi"/>
              </w:rPr>
              <w:t xml:space="preserve"> </w:t>
            </w:r>
            <w:r w:rsidRPr="00FF04A7">
              <w:rPr>
                <w:rFonts w:cstheme="minorHAnsi"/>
              </w:rPr>
              <w:t>Pour préserver la qualité de l’air, la dose annuelle de folpel est limitée à 4000 g/ha/an en moyenne sur 5 ans.</w:t>
            </w:r>
          </w:p>
        </w:tc>
        <w:tc>
          <w:tcPr>
            <w:tcW w:w="4794" w:type="dxa"/>
            <w:vAlign w:val="center"/>
          </w:tcPr>
          <w:p w:rsidR="00AB7683" w:rsidRDefault="007032F9" w:rsidP="007032F9">
            <w:r>
              <w:t>-</w:t>
            </w:r>
            <w:r w:rsidR="00AB7683">
              <w:t>Cahier d’exploitation (traçabilité) : Enregistrement des pratiques</w:t>
            </w:r>
          </w:p>
          <w:p w:rsidR="007032F9" w:rsidRDefault="00AB7683" w:rsidP="007032F9">
            <w:r>
              <w:t xml:space="preserve">- Calcul </w:t>
            </w:r>
            <w:r w:rsidR="007032F9">
              <w:t>du nombre d’application et du grammage total/ha/an</w:t>
            </w:r>
          </w:p>
          <w:p w:rsidR="007032F9" w:rsidRPr="0002756C" w:rsidRDefault="007032F9" w:rsidP="007032F9">
            <w:r>
              <w:t>-Factures</w:t>
            </w:r>
          </w:p>
        </w:tc>
      </w:tr>
      <w:tr w:rsidR="007032F9" w:rsidRPr="0002756C" w:rsidTr="007032F9">
        <w:trPr>
          <w:trHeight w:val="517"/>
        </w:trPr>
        <w:tc>
          <w:tcPr>
            <w:tcW w:w="4794" w:type="dxa"/>
            <w:vAlign w:val="center"/>
          </w:tcPr>
          <w:p w:rsidR="007032F9" w:rsidRPr="00FF04A7" w:rsidRDefault="007032F9" w:rsidP="007032F9">
            <w:pPr>
              <w:rPr>
                <w:rFonts w:cstheme="minorHAnsi"/>
                <w:sz w:val="24"/>
                <w:szCs w:val="24"/>
              </w:rPr>
            </w:pPr>
            <w:r>
              <w:rPr>
                <w:rFonts w:cstheme="minorHAnsi"/>
                <w:b/>
              </w:rPr>
              <w:t>29</w:t>
            </w:r>
            <w:r w:rsidRPr="00FF04A7">
              <w:rPr>
                <w:rFonts w:cstheme="minorHAnsi"/>
                <w:b/>
              </w:rPr>
              <w:t> :</w:t>
            </w:r>
            <w:r>
              <w:rPr>
                <w:rFonts w:cstheme="minorHAnsi"/>
              </w:rPr>
              <w:t xml:space="preserve"> </w:t>
            </w:r>
            <w:r w:rsidRPr="00FF04A7">
              <w:rPr>
                <w:rFonts w:cstheme="minorHAnsi"/>
              </w:rPr>
              <w:t>L'exploitant est équipé d’un pulvérisateur face par face. En cas d'utilisation d'un appareil de pulvérisation jet porté non face par face dans le rang type turbine, les traitements doivent être réalisés en passant tous les 3 rangs en début de végétation puis tous les deux rangs en pleine végétation.</w:t>
            </w:r>
          </w:p>
        </w:tc>
        <w:tc>
          <w:tcPr>
            <w:tcW w:w="4794" w:type="dxa"/>
            <w:vAlign w:val="center"/>
          </w:tcPr>
          <w:p w:rsidR="007032F9" w:rsidRDefault="007032F9" w:rsidP="007032F9">
            <w:r>
              <w:t>-Liste du matériel</w:t>
            </w:r>
          </w:p>
          <w:p w:rsidR="007032F9" w:rsidRPr="0002756C" w:rsidRDefault="007032F9" w:rsidP="007032F9">
            <w:r>
              <w:t>-Manuel technique du pulvé</w:t>
            </w:r>
            <w:r w:rsidR="00AB7683">
              <w:t>risateur</w:t>
            </w:r>
          </w:p>
        </w:tc>
      </w:tr>
      <w:tr w:rsidR="007032F9" w:rsidRPr="0002756C" w:rsidTr="007032F9">
        <w:trPr>
          <w:trHeight w:val="517"/>
        </w:trPr>
        <w:tc>
          <w:tcPr>
            <w:tcW w:w="4794" w:type="dxa"/>
            <w:vAlign w:val="center"/>
          </w:tcPr>
          <w:p w:rsidR="007032F9" w:rsidRPr="00FF04A7" w:rsidRDefault="007032F9" w:rsidP="007032F9">
            <w:pPr>
              <w:rPr>
                <w:rFonts w:cstheme="minorHAnsi"/>
                <w:sz w:val="24"/>
                <w:szCs w:val="24"/>
              </w:rPr>
            </w:pPr>
            <w:r w:rsidRPr="00090A67">
              <w:rPr>
                <w:rFonts w:cstheme="minorHAnsi"/>
                <w:b/>
              </w:rPr>
              <w:t>31 :</w:t>
            </w:r>
            <w:r>
              <w:rPr>
                <w:rFonts w:cstheme="minorHAnsi"/>
              </w:rPr>
              <w:t xml:space="preserve"> </w:t>
            </w:r>
            <w:r w:rsidRPr="00FF04A7">
              <w:rPr>
                <w:rFonts w:cstheme="minorHAnsi"/>
              </w:rPr>
              <w:t>Lors des premières interventions, les appareils à jets projetés (rampes à pendillards) sont équipés de buses antidérive.</w:t>
            </w:r>
          </w:p>
        </w:tc>
        <w:tc>
          <w:tcPr>
            <w:tcW w:w="4794" w:type="dxa"/>
            <w:vAlign w:val="center"/>
          </w:tcPr>
          <w:p w:rsidR="007032F9" w:rsidRPr="00090A67" w:rsidRDefault="007032F9" w:rsidP="007032F9">
            <w:pPr>
              <w:rPr>
                <w:b/>
              </w:rPr>
            </w:pPr>
            <w:r w:rsidRPr="00090A67">
              <w:rPr>
                <w:b/>
              </w:rPr>
              <w:t>-</w:t>
            </w:r>
            <w:r w:rsidRPr="006C6B54">
              <w:t>Factures</w:t>
            </w:r>
            <w:r w:rsidR="006C6B54" w:rsidRPr="006C6B54">
              <w:t>/ buses montées sur le pulvé</w:t>
            </w:r>
          </w:p>
        </w:tc>
      </w:tr>
      <w:tr w:rsidR="007032F9" w:rsidRPr="0002756C" w:rsidTr="007032F9">
        <w:trPr>
          <w:trHeight w:val="517"/>
        </w:trPr>
        <w:tc>
          <w:tcPr>
            <w:tcW w:w="4794" w:type="dxa"/>
            <w:vAlign w:val="center"/>
          </w:tcPr>
          <w:p w:rsidR="007032F9" w:rsidRPr="00FF04A7" w:rsidRDefault="007032F9" w:rsidP="007032F9">
            <w:pPr>
              <w:rPr>
                <w:rFonts w:cstheme="minorHAnsi"/>
                <w:sz w:val="24"/>
                <w:szCs w:val="24"/>
              </w:rPr>
            </w:pPr>
            <w:r w:rsidRPr="00090A67">
              <w:rPr>
                <w:rFonts w:cstheme="minorHAnsi"/>
                <w:b/>
              </w:rPr>
              <w:t>32 :</w:t>
            </w:r>
            <w:r>
              <w:rPr>
                <w:rFonts w:cstheme="minorHAnsi"/>
              </w:rPr>
              <w:t xml:space="preserve"> </w:t>
            </w:r>
            <w:r w:rsidRPr="00FF04A7">
              <w:rPr>
                <w:rFonts w:cstheme="minorHAnsi"/>
              </w:rPr>
              <w:t>A l’achat, tout nouveau pulvérisateur neuf doit répondre à la norme environnementale EN 12761. Le nouveau pulvérisateur devra également être équipé d'un système de tronçons permettant la gestion de rangs entiers.</w:t>
            </w:r>
          </w:p>
        </w:tc>
        <w:tc>
          <w:tcPr>
            <w:tcW w:w="4794" w:type="dxa"/>
            <w:vAlign w:val="center"/>
          </w:tcPr>
          <w:p w:rsidR="007032F9" w:rsidRDefault="007032F9" w:rsidP="007032F9">
            <w:r>
              <w:t>-Manuel technique du pulvérisateur</w:t>
            </w:r>
          </w:p>
        </w:tc>
      </w:tr>
      <w:tr w:rsidR="007032F9" w:rsidRPr="0002756C" w:rsidTr="007032F9">
        <w:trPr>
          <w:trHeight w:val="517"/>
        </w:trPr>
        <w:tc>
          <w:tcPr>
            <w:tcW w:w="4794" w:type="dxa"/>
            <w:vAlign w:val="bottom"/>
          </w:tcPr>
          <w:p w:rsidR="007032F9" w:rsidRPr="00090A67" w:rsidRDefault="007032F9" w:rsidP="007032F9">
            <w:pPr>
              <w:rPr>
                <w:rFonts w:cstheme="minorHAnsi"/>
                <w:sz w:val="24"/>
                <w:szCs w:val="24"/>
              </w:rPr>
            </w:pPr>
            <w:r w:rsidRPr="00090A67">
              <w:rPr>
                <w:rFonts w:cstheme="minorHAnsi"/>
                <w:b/>
              </w:rPr>
              <w:lastRenderedPageBreak/>
              <w:t>35 :</w:t>
            </w:r>
            <w:r>
              <w:rPr>
                <w:rFonts w:cstheme="minorHAnsi"/>
              </w:rPr>
              <w:t xml:space="preserve"> </w:t>
            </w:r>
            <w:r w:rsidRPr="00090A67">
              <w:rPr>
                <w:rFonts w:cstheme="minorHAnsi"/>
              </w:rPr>
              <w:t>La stratégie de fertilisation, établie pour chaque parcelle ou lot de parcelles homogènes, respecte l’interprétation de l’analyse de terre. Elle tient compte des éléments fertilisan</w:t>
            </w:r>
            <w:r>
              <w:rPr>
                <w:rFonts w:cstheme="minorHAnsi"/>
              </w:rPr>
              <w:t>ts apportés par les formes orga</w:t>
            </w:r>
            <w:r w:rsidRPr="00090A67">
              <w:rPr>
                <w:rFonts w:cstheme="minorHAnsi"/>
              </w:rPr>
              <w:t>niques et des objectifs de maîtrise des rendements.</w:t>
            </w:r>
          </w:p>
        </w:tc>
        <w:tc>
          <w:tcPr>
            <w:tcW w:w="4794" w:type="dxa"/>
            <w:vAlign w:val="center"/>
          </w:tcPr>
          <w:p w:rsidR="007032F9" w:rsidRDefault="007032F9" w:rsidP="007032F9">
            <w:r>
              <w:t>- Plan de fertilisation</w:t>
            </w:r>
          </w:p>
          <w:p w:rsidR="007032F9" w:rsidRDefault="007032F9" w:rsidP="007032F9">
            <w:r>
              <w:t>-Bulletins d’analyse de terre</w:t>
            </w:r>
          </w:p>
          <w:p w:rsidR="007032F9" w:rsidRDefault="007032F9" w:rsidP="007032F9">
            <w:r>
              <w:t>-Bulletins d’analyses foliaires et/ou petiolaires</w:t>
            </w:r>
          </w:p>
          <w:p w:rsidR="007032F9" w:rsidRDefault="007032F9" w:rsidP="007032F9">
            <w:r>
              <w:t>- Plan d’épandage</w:t>
            </w:r>
          </w:p>
          <w:p w:rsidR="007032F9" w:rsidRDefault="007032F9" w:rsidP="007032F9">
            <w:r>
              <w:t>- Enregistrements</w:t>
            </w:r>
          </w:p>
          <w:p w:rsidR="007032F9" w:rsidRDefault="007032F9" w:rsidP="007032F9">
            <w:r>
              <w:t>- Bulletin d’analyses des fertilisants apportés</w:t>
            </w:r>
          </w:p>
        </w:tc>
      </w:tr>
      <w:tr w:rsidR="007032F9" w:rsidRPr="0002756C" w:rsidTr="007032F9">
        <w:trPr>
          <w:trHeight w:val="517"/>
        </w:trPr>
        <w:tc>
          <w:tcPr>
            <w:tcW w:w="4794" w:type="dxa"/>
            <w:vAlign w:val="center"/>
          </w:tcPr>
          <w:p w:rsidR="007032F9" w:rsidRPr="00090A67" w:rsidRDefault="007032F9" w:rsidP="007032F9">
            <w:pPr>
              <w:rPr>
                <w:rFonts w:cstheme="minorHAnsi"/>
                <w:sz w:val="24"/>
                <w:szCs w:val="24"/>
              </w:rPr>
            </w:pPr>
            <w:r w:rsidRPr="00090A67">
              <w:rPr>
                <w:rFonts w:cstheme="minorHAnsi"/>
                <w:b/>
              </w:rPr>
              <w:t>36 :</w:t>
            </w:r>
            <w:r>
              <w:rPr>
                <w:rFonts w:cstheme="minorHAnsi"/>
              </w:rPr>
              <w:t xml:space="preserve"> </w:t>
            </w:r>
            <w:r w:rsidRPr="00090A67">
              <w:rPr>
                <w:rFonts w:cstheme="minorHAnsi"/>
              </w:rPr>
              <w:t xml:space="preserve">Pour raisonner le choix du porte-greffe et la fumure de fond, une analyse de terre est réalisée par un laboratoire agréé. </w:t>
            </w:r>
          </w:p>
        </w:tc>
        <w:tc>
          <w:tcPr>
            <w:tcW w:w="4794" w:type="dxa"/>
            <w:vAlign w:val="center"/>
          </w:tcPr>
          <w:p w:rsidR="007032F9" w:rsidRDefault="007032F9" w:rsidP="007032F9">
            <w:r>
              <w:t>-Résultat d’analyse de sol</w:t>
            </w:r>
          </w:p>
          <w:p w:rsidR="007032F9" w:rsidRDefault="007032F9" w:rsidP="007032F9">
            <w:r>
              <w:t>-Bulletins de préconisations</w:t>
            </w:r>
          </w:p>
        </w:tc>
      </w:tr>
      <w:tr w:rsidR="007032F9" w:rsidRPr="0002756C" w:rsidTr="007032F9">
        <w:trPr>
          <w:trHeight w:val="517"/>
        </w:trPr>
        <w:tc>
          <w:tcPr>
            <w:tcW w:w="4794" w:type="dxa"/>
            <w:vAlign w:val="center"/>
          </w:tcPr>
          <w:p w:rsidR="007032F9" w:rsidRPr="00090A67" w:rsidRDefault="007032F9" w:rsidP="007032F9">
            <w:pPr>
              <w:rPr>
                <w:rFonts w:cstheme="minorHAnsi"/>
                <w:sz w:val="24"/>
                <w:szCs w:val="24"/>
              </w:rPr>
            </w:pPr>
            <w:r w:rsidRPr="00090A67">
              <w:rPr>
                <w:rFonts w:cstheme="minorHAnsi"/>
                <w:b/>
              </w:rPr>
              <w:t>37 :</w:t>
            </w:r>
            <w:r>
              <w:rPr>
                <w:rFonts w:cstheme="minorHAnsi"/>
              </w:rPr>
              <w:t xml:space="preserve"> </w:t>
            </w:r>
            <w:r w:rsidRPr="00090A67">
              <w:rPr>
                <w:rFonts w:cstheme="minorHAnsi"/>
              </w:rPr>
              <w:t>Une analyse périodique de terre est entreprise tous les six ans par lots de parcelles homogènes. L’analyse de terre est confiée à un laboratoire agréé.</w:t>
            </w:r>
          </w:p>
        </w:tc>
        <w:tc>
          <w:tcPr>
            <w:tcW w:w="4794" w:type="dxa"/>
            <w:vAlign w:val="center"/>
          </w:tcPr>
          <w:p w:rsidR="007032F9" w:rsidRDefault="004042AF" w:rsidP="004042AF">
            <w:r>
              <w:t>-bulletin d’analyse de sol ( recommandé : prévisionnel d’analyses sur 6 ans)</w:t>
            </w:r>
          </w:p>
        </w:tc>
      </w:tr>
      <w:tr w:rsidR="007032F9" w:rsidRPr="0002756C" w:rsidTr="007032F9">
        <w:trPr>
          <w:trHeight w:val="517"/>
        </w:trPr>
        <w:tc>
          <w:tcPr>
            <w:tcW w:w="4794" w:type="dxa"/>
            <w:vAlign w:val="center"/>
          </w:tcPr>
          <w:p w:rsidR="007032F9" w:rsidRPr="00090A67" w:rsidRDefault="007032F9" w:rsidP="007032F9">
            <w:pPr>
              <w:rPr>
                <w:rFonts w:cstheme="minorHAnsi"/>
                <w:sz w:val="24"/>
                <w:szCs w:val="24"/>
              </w:rPr>
            </w:pPr>
            <w:r w:rsidRPr="00090A67">
              <w:rPr>
                <w:rFonts w:cstheme="minorHAnsi"/>
                <w:b/>
              </w:rPr>
              <w:t>38 :</w:t>
            </w:r>
            <w:r>
              <w:rPr>
                <w:rFonts w:cstheme="minorHAnsi"/>
              </w:rPr>
              <w:t xml:space="preserve"> </w:t>
            </w:r>
            <w:r w:rsidRPr="00090A67">
              <w:rPr>
                <w:rFonts w:cstheme="minorHAnsi"/>
              </w:rPr>
              <w:t>Les engrais azotés sont localisés sous le rang.</w:t>
            </w:r>
          </w:p>
        </w:tc>
        <w:tc>
          <w:tcPr>
            <w:tcW w:w="4794" w:type="dxa"/>
            <w:vAlign w:val="center"/>
          </w:tcPr>
          <w:p w:rsidR="007032F9" w:rsidRDefault="007032F9" w:rsidP="007032F9">
            <w:r>
              <w:t>-Manuels des appareils d’épandage</w:t>
            </w:r>
          </w:p>
          <w:p w:rsidR="007032F9" w:rsidRDefault="007032F9" w:rsidP="007032F9">
            <w:r>
              <w:t>-Enregistrements</w:t>
            </w:r>
          </w:p>
          <w:p w:rsidR="007032F9" w:rsidRDefault="007032F9" w:rsidP="007032F9">
            <w:r>
              <w:t>-Factures de prestations</w:t>
            </w:r>
          </w:p>
        </w:tc>
      </w:tr>
      <w:tr w:rsidR="007032F9" w:rsidRPr="0002756C" w:rsidTr="007032F9">
        <w:trPr>
          <w:trHeight w:val="517"/>
        </w:trPr>
        <w:tc>
          <w:tcPr>
            <w:tcW w:w="4794" w:type="dxa"/>
            <w:vAlign w:val="center"/>
          </w:tcPr>
          <w:p w:rsidR="007032F9" w:rsidRPr="00090A67" w:rsidRDefault="007032F9" w:rsidP="007032F9">
            <w:pPr>
              <w:rPr>
                <w:rFonts w:cstheme="minorHAnsi"/>
                <w:sz w:val="24"/>
                <w:szCs w:val="24"/>
              </w:rPr>
            </w:pPr>
            <w:r w:rsidRPr="00090A67">
              <w:rPr>
                <w:rFonts w:cstheme="minorHAnsi"/>
                <w:b/>
              </w:rPr>
              <w:t>39 :</w:t>
            </w:r>
            <w:r>
              <w:rPr>
                <w:rFonts w:cstheme="minorHAnsi"/>
              </w:rPr>
              <w:t xml:space="preserve"> </w:t>
            </w:r>
            <w:r w:rsidRPr="00090A67">
              <w:rPr>
                <w:rFonts w:cstheme="minorHAnsi"/>
              </w:rPr>
              <w:t>La fertilisation phosphatée minérale d’entretien n’est pas mise en œuvre.</w:t>
            </w:r>
          </w:p>
        </w:tc>
        <w:tc>
          <w:tcPr>
            <w:tcW w:w="4794" w:type="dxa"/>
            <w:vAlign w:val="center"/>
          </w:tcPr>
          <w:p w:rsidR="007032F9" w:rsidRDefault="007032F9" w:rsidP="007032F9">
            <w:r>
              <w:t>-Enregistrements</w:t>
            </w:r>
          </w:p>
          <w:p w:rsidR="007032F9" w:rsidRDefault="007032F9" w:rsidP="007032F9">
            <w:r>
              <w:t>-Factures d’achat des engrais</w:t>
            </w:r>
          </w:p>
        </w:tc>
      </w:tr>
      <w:tr w:rsidR="007032F9" w:rsidRPr="0002756C" w:rsidTr="007032F9">
        <w:trPr>
          <w:trHeight w:val="517"/>
        </w:trPr>
        <w:tc>
          <w:tcPr>
            <w:tcW w:w="4794" w:type="dxa"/>
            <w:vAlign w:val="center"/>
          </w:tcPr>
          <w:p w:rsidR="007032F9" w:rsidRPr="00090A67" w:rsidRDefault="007032F9" w:rsidP="007032F9">
            <w:pPr>
              <w:rPr>
                <w:rFonts w:cstheme="minorHAnsi"/>
                <w:sz w:val="24"/>
                <w:szCs w:val="24"/>
              </w:rPr>
            </w:pPr>
            <w:r w:rsidRPr="00907043">
              <w:rPr>
                <w:rFonts w:cstheme="minorHAnsi"/>
                <w:b/>
              </w:rPr>
              <w:t>40 :</w:t>
            </w:r>
            <w:r>
              <w:rPr>
                <w:rFonts w:cstheme="minorHAnsi"/>
              </w:rPr>
              <w:t xml:space="preserve"> </w:t>
            </w:r>
            <w:r w:rsidRPr="00090A67">
              <w:rPr>
                <w:rFonts w:cstheme="minorHAnsi"/>
              </w:rPr>
              <w:t>L'exploitant adresse une déclaration à l'ODG au moins 6 semaines avant la date prévue pour le début des travaux ou aménagements susceptibles de modifier de manière substantielle la morphologie, le sous-sol ou des éléments permettant de garantir l'intégrité et la pérennité des sols d'une parcelle.</w:t>
            </w:r>
          </w:p>
        </w:tc>
        <w:tc>
          <w:tcPr>
            <w:tcW w:w="4794" w:type="dxa"/>
            <w:vAlign w:val="center"/>
          </w:tcPr>
          <w:p w:rsidR="007032F9" w:rsidRDefault="007032F9" w:rsidP="007032F9">
            <w:r>
              <w:t>-Déclaration d’aménagement de parcelle</w:t>
            </w:r>
          </w:p>
        </w:tc>
      </w:tr>
      <w:tr w:rsidR="007032F9" w:rsidRPr="0002756C" w:rsidTr="007032F9">
        <w:trPr>
          <w:trHeight w:val="517"/>
        </w:trPr>
        <w:tc>
          <w:tcPr>
            <w:tcW w:w="4794" w:type="dxa"/>
            <w:vAlign w:val="center"/>
          </w:tcPr>
          <w:p w:rsidR="007032F9" w:rsidRPr="00090A67" w:rsidRDefault="007032F9" w:rsidP="007032F9">
            <w:pPr>
              <w:rPr>
                <w:rFonts w:cstheme="minorHAnsi"/>
                <w:sz w:val="24"/>
                <w:szCs w:val="24"/>
              </w:rPr>
            </w:pPr>
            <w:r w:rsidRPr="00907043">
              <w:rPr>
                <w:rFonts w:cstheme="minorHAnsi"/>
                <w:b/>
              </w:rPr>
              <w:t>42 :</w:t>
            </w:r>
            <w:r>
              <w:rPr>
                <w:rFonts w:cstheme="minorHAnsi"/>
              </w:rPr>
              <w:t xml:space="preserve"> </w:t>
            </w:r>
            <w:r w:rsidRPr="00090A67">
              <w:rPr>
                <w:rFonts w:cstheme="minorHAnsi"/>
              </w:rPr>
              <w:t>Les petits éléments bâtis présents dans le vignoble (murets, loges de vignes par exemple) sont conservés, entretenus et/ou rénovés. Toute suppression doit être justifiée.</w:t>
            </w:r>
          </w:p>
        </w:tc>
        <w:tc>
          <w:tcPr>
            <w:tcW w:w="4794" w:type="dxa"/>
            <w:vAlign w:val="center"/>
          </w:tcPr>
          <w:p w:rsidR="007032F9" w:rsidRDefault="007032F9" w:rsidP="007032F9">
            <w:r>
              <w:t>-Liste des éléments bâtis</w:t>
            </w:r>
          </w:p>
          <w:p w:rsidR="007032F9" w:rsidRDefault="004042AF" w:rsidP="007032F9">
            <w:r>
              <w:t xml:space="preserve">-Cartographie </w:t>
            </w:r>
            <w:r w:rsidR="007032F9">
              <w:t>des petits éléments bâtis</w:t>
            </w:r>
          </w:p>
        </w:tc>
      </w:tr>
      <w:tr w:rsidR="007032F9" w:rsidRPr="0002756C" w:rsidTr="007032F9">
        <w:trPr>
          <w:trHeight w:val="517"/>
        </w:trPr>
        <w:tc>
          <w:tcPr>
            <w:tcW w:w="4794" w:type="dxa"/>
            <w:vAlign w:val="center"/>
          </w:tcPr>
          <w:p w:rsidR="007032F9" w:rsidRPr="00907043" w:rsidRDefault="007032F9" w:rsidP="007032F9">
            <w:pPr>
              <w:rPr>
                <w:rFonts w:cstheme="minorHAnsi"/>
                <w:sz w:val="24"/>
                <w:szCs w:val="24"/>
              </w:rPr>
            </w:pPr>
            <w:r w:rsidRPr="00907043">
              <w:rPr>
                <w:rFonts w:cstheme="minorHAnsi"/>
                <w:b/>
              </w:rPr>
              <w:t>46 :</w:t>
            </w:r>
            <w:r>
              <w:rPr>
                <w:rFonts w:cstheme="minorHAnsi"/>
              </w:rPr>
              <w:t xml:space="preserve"> </w:t>
            </w:r>
            <w:r w:rsidRPr="00907043">
              <w:rPr>
                <w:rFonts w:cstheme="minorHAnsi"/>
              </w:rPr>
              <w:t>L’exploitant prend les mesures nécessaires pour limiter l’orniérage et le tassement des sols.</w:t>
            </w:r>
          </w:p>
        </w:tc>
        <w:tc>
          <w:tcPr>
            <w:tcW w:w="4794" w:type="dxa"/>
            <w:vAlign w:val="center"/>
          </w:tcPr>
          <w:p w:rsidR="007032F9" w:rsidRDefault="004042AF" w:rsidP="004042AF">
            <w:r>
              <w:t>-Cahier d’exploitation ( traçabilité) : noter les passages de travail du sol de remise à plat</w:t>
            </w:r>
          </w:p>
        </w:tc>
      </w:tr>
      <w:tr w:rsidR="007032F9" w:rsidRPr="0002756C" w:rsidTr="007032F9">
        <w:trPr>
          <w:trHeight w:val="517"/>
        </w:trPr>
        <w:tc>
          <w:tcPr>
            <w:tcW w:w="4794" w:type="dxa"/>
            <w:vAlign w:val="center"/>
          </w:tcPr>
          <w:p w:rsidR="007032F9" w:rsidRPr="00907043" w:rsidRDefault="007032F9" w:rsidP="007032F9">
            <w:pPr>
              <w:rPr>
                <w:rFonts w:cstheme="minorHAnsi"/>
                <w:sz w:val="24"/>
                <w:szCs w:val="24"/>
              </w:rPr>
            </w:pPr>
            <w:r w:rsidRPr="00907043">
              <w:rPr>
                <w:rFonts w:cstheme="minorHAnsi"/>
                <w:b/>
              </w:rPr>
              <w:t>48 :</w:t>
            </w:r>
            <w:r>
              <w:rPr>
                <w:rFonts w:cstheme="minorHAnsi"/>
              </w:rPr>
              <w:t xml:space="preserve"> </w:t>
            </w:r>
            <w:r w:rsidRPr="00907043">
              <w:rPr>
                <w:rFonts w:cstheme="minorHAnsi"/>
              </w:rPr>
              <w:t>Après arrachage, les souches, les racines ainsi que les ceps et moignons morts sont valorisés. Tout brûlage doit se faire par valorisation énergétique.</w:t>
            </w:r>
          </w:p>
        </w:tc>
        <w:tc>
          <w:tcPr>
            <w:tcW w:w="4794" w:type="dxa"/>
            <w:vAlign w:val="center"/>
          </w:tcPr>
          <w:p w:rsidR="007032F9" w:rsidRDefault="007032F9" w:rsidP="007032F9">
            <w:r>
              <w:t>-Enregistrements</w:t>
            </w:r>
          </w:p>
          <w:p w:rsidR="007032F9" w:rsidRDefault="007032F9" w:rsidP="007032F9">
            <w:r>
              <w:t>-Attestation justifiant du devenir des bois</w:t>
            </w:r>
          </w:p>
        </w:tc>
      </w:tr>
      <w:tr w:rsidR="007032F9" w:rsidRPr="0002756C" w:rsidTr="007032F9">
        <w:trPr>
          <w:trHeight w:val="517"/>
        </w:trPr>
        <w:tc>
          <w:tcPr>
            <w:tcW w:w="4794" w:type="dxa"/>
            <w:vAlign w:val="center"/>
          </w:tcPr>
          <w:p w:rsidR="007032F9" w:rsidRPr="00907043" w:rsidRDefault="007032F9" w:rsidP="007032F9">
            <w:pPr>
              <w:rPr>
                <w:rFonts w:cstheme="minorHAnsi"/>
                <w:sz w:val="24"/>
                <w:szCs w:val="24"/>
              </w:rPr>
            </w:pPr>
            <w:r w:rsidRPr="00907043">
              <w:rPr>
                <w:rFonts w:cstheme="minorHAnsi"/>
                <w:b/>
              </w:rPr>
              <w:t>49 :</w:t>
            </w:r>
            <w:r>
              <w:rPr>
                <w:rFonts w:cstheme="minorHAnsi"/>
              </w:rPr>
              <w:t xml:space="preserve"> </w:t>
            </w:r>
            <w:r w:rsidRPr="00907043">
              <w:rPr>
                <w:rFonts w:cstheme="minorHAnsi"/>
              </w:rPr>
              <w:t>La restitution au sol des sarments est entreprise pour entretenir le taux de matière organique. S’ils sont brûlés, ils font l’objet d’une valorisation énergétique. Toute exception est justifiée (impossibilité technique de valorisation au sol ou énergétique).</w:t>
            </w:r>
          </w:p>
        </w:tc>
        <w:tc>
          <w:tcPr>
            <w:tcW w:w="4794" w:type="dxa"/>
            <w:vAlign w:val="center"/>
          </w:tcPr>
          <w:p w:rsidR="007032F9" w:rsidRDefault="007032F9" w:rsidP="007032F9">
            <w:r>
              <w:t>-Enregistrements</w:t>
            </w:r>
          </w:p>
          <w:p w:rsidR="007032F9" w:rsidRDefault="007032F9" w:rsidP="007032F9">
            <w:r>
              <w:t>-Attestation justifiant du devenir des sarments</w:t>
            </w:r>
          </w:p>
        </w:tc>
      </w:tr>
      <w:tr w:rsidR="007032F9" w:rsidRPr="0002756C" w:rsidTr="007032F9">
        <w:trPr>
          <w:trHeight w:val="517"/>
        </w:trPr>
        <w:tc>
          <w:tcPr>
            <w:tcW w:w="4794" w:type="dxa"/>
            <w:vAlign w:val="center"/>
          </w:tcPr>
          <w:p w:rsidR="007032F9" w:rsidRPr="00907043" w:rsidRDefault="007032F9" w:rsidP="007032F9">
            <w:pPr>
              <w:rPr>
                <w:rFonts w:cstheme="minorHAnsi"/>
                <w:sz w:val="24"/>
                <w:szCs w:val="24"/>
              </w:rPr>
            </w:pPr>
            <w:r w:rsidRPr="00907043">
              <w:rPr>
                <w:rFonts w:cstheme="minorHAnsi"/>
                <w:b/>
              </w:rPr>
              <w:t>50 :</w:t>
            </w:r>
            <w:r>
              <w:rPr>
                <w:rFonts w:cstheme="minorHAnsi"/>
              </w:rPr>
              <w:t xml:space="preserve"> </w:t>
            </w:r>
            <w:r w:rsidRPr="00907043">
              <w:rPr>
                <w:rFonts w:cstheme="minorHAnsi"/>
              </w:rPr>
              <w:t>L’exploitant évalue au moins tous les 5 ans l’empreinte carbone de son exploitation dans une optique plus globale d’amélioration continue de ses performances environnementales.</w:t>
            </w:r>
          </w:p>
        </w:tc>
        <w:tc>
          <w:tcPr>
            <w:tcW w:w="4794" w:type="dxa"/>
            <w:vAlign w:val="center"/>
          </w:tcPr>
          <w:p w:rsidR="007032F9" w:rsidRDefault="004042AF" w:rsidP="007032F9">
            <w:r>
              <w:t>-calcul de l’empreinte carbone :</w:t>
            </w:r>
          </w:p>
        </w:tc>
      </w:tr>
      <w:tr w:rsidR="007032F9" w:rsidRPr="0002756C" w:rsidTr="007032F9">
        <w:trPr>
          <w:trHeight w:val="517"/>
        </w:trPr>
        <w:tc>
          <w:tcPr>
            <w:tcW w:w="4794" w:type="dxa"/>
            <w:vAlign w:val="center"/>
          </w:tcPr>
          <w:p w:rsidR="007032F9" w:rsidRPr="00907043" w:rsidRDefault="007032F9" w:rsidP="007032F9">
            <w:pPr>
              <w:rPr>
                <w:rFonts w:cstheme="minorHAnsi"/>
                <w:sz w:val="24"/>
                <w:szCs w:val="24"/>
              </w:rPr>
            </w:pPr>
            <w:r w:rsidRPr="00907043">
              <w:rPr>
                <w:rFonts w:cstheme="minorHAnsi"/>
                <w:b/>
              </w:rPr>
              <w:t>51 :</w:t>
            </w:r>
            <w:r>
              <w:rPr>
                <w:rFonts w:cstheme="minorHAnsi"/>
              </w:rPr>
              <w:t xml:space="preserve"> </w:t>
            </w:r>
            <w:r w:rsidRPr="00907043">
              <w:rPr>
                <w:rFonts w:cstheme="minorHAnsi"/>
              </w:rPr>
              <w:t>Pour le désherbage, l'exploitant emploie les méthodes présentant un impact environnemental modéré.</w:t>
            </w:r>
          </w:p>
        </w:tc>
        <w:tc>
          <w:tcPr>
            <w:tcW w:w="4794" w:type="dxa"/>
            <w:vAlign w:val="center"/>
          </w:tcPr>
          <w:p w:rsidR="007032F9" w:rsidRDefault="004042AF" w:rsidP="004042AF">
            <w:r>
              <w:t>-cahier d’exploitation (traçabilité)</w:t>
            </w:r>
          </w:p>
        </w:tc>
      </w:tr>
      <w:tr w:rsidR="007032F9" w:rsidRPr="0002756C" w:rsidTr="007032F9">
        <w:trPr>
          <w:trHeight w:val="517"/>
        </w:trPr>
        <w:tc>
          <w:tcPr>
            <w:tcW w:w="4794" w:type="dxa"/>
            <w:vAlign w:val="center"/>
          </w:tcPr>
          <w:p w:rsidR="007032F9" w:rsidRPr="00907043" w:rsidRDefault="007032F9" w:rsidP="007032F9">
            <w:pPr>
              <w:rPr>
                <w:rFonts w:cstheme="minorHAnsi"/>
                <w:sz w:val="24"/>
                <w:szCs w:val="24"/>
              </w:rPr>
            </w:pPr>
            <w:r w:rsidRPr="001F042F">
              <w:rPr>
                <w:rFonts w:cstheme="minorHAnsi"/>
                <w:b/>
              </w:rPr>
              <w:t>52 :</w:t>
            </w:r>
            <w:r>
              <w:rPr>
                <w:rFonts w:cstheme="minorHAnsi"/>
              </w:rPr>
              <w:t xml:space="preserve"> </w:t>
            </w:r>
            <w:r w:rsidRPr="00907043">
              <w:rPr>
                <w:rFonts w:cstheme="minorHAnsi"/>
              </w:rPr>
              <w:t xml:space="preserve">Pour lutter contre les gelées de printemps si nécessaire, l'exploitant a recours à une méthode issue de la liste des pratiques ayant un impact </w:t>
            </w:r>
            <w:r w:rsidRPr="00907043">
              <w:rPr>
                <w:rFonts w:cstheme="minorHAnsi"/>
              </w:rPr>
              <w:lastRenderedPageBreak/>
              <w:t>environnemental modéré. Les systèmes d'asp</w:t>
            </w:r>
            <w:r>
              <w:rPr>
                <w:rFonts w:cstheme="minorHAnsi"/>
              </w:rPr>
              <w:t>ersion présentant une faible em</w:t>
            </w:r>
            <w:r w:rsidRPr="00907043">
              <w:rPr>
                <w:rFonts w:cstheme="minorHAnsi"/>
              </w:rPr>
              <w:t>preinte carbone peuvent être utilisés, cependant leur utilisation doit respecter les contraintes réglementaires et environnementales.</w:t>
            </w:r>
          </w:p>
        </w:tc>
        <w:tc>
          <w:tcPr>
            <w:tcW w:w="4794" w:type="dxa"/>
            <w:vAlign w:val="center"/>
          </w:tcPr>
          <w:p w:rsidR="007032F9" w:rsidRDefault="004042AF" w:rsidP="007032F9">
            <w:r>
              <w:lastRenderedPageBreak/>
              <w:t>-cahier d’exploitation (traçabilité)</w:t>
            </w:r>
          </w:p>
          <w:p w:rsidR="007032F9" w:rsidRDefault="007032F9" w:rsidP="007032F9">
            <w:r>
              <w:t>-Déclaration ou demande d’autorisation de prélèvement d’eau</w:t>
            </w:r>
          </w:p>
        </w:tc>
      </w:tr>
      <w:tr w:rsidR="007032F9" w:rsidRPr="0002756C" w:rsidTr="007032F9">
        <w:trPr>
          <w:trHeight w:val="517"/>
        </w:trPr>
        <w:tc>
          <w:tcPr>
            <w:tcW w:w="4794" w:type="dxa"/>
            <w:vAlign w:val="center"/>
          </w:tcPr>
          <w:p w:rsidR="007032F9" w:rsidRPr="00907043" w:rsidRDefault="007032F9" w:rsidP="007032F9">
            <w:pPr>
              <w:rPr>
                <w:rFonts w:cstheme="minorHAnsi"/>
                <w:sz w:val="24"/>
                <w:szCs w:val="24"/>
              </w:rPr>
            </w:pPr>
            <w:r w:rsidRPr="001F042F">
              <w:rPr>
                <w:rFonts w:cstheme="minorHAnsi"/>
                <w:b/>
              </w:rPr>
              <w:lastRenderedPageBreak/>
              <w:t>53 :</w:t>
            </w:r>
            <w:r>
              <w:rPr>
                <w:rFonts w:cstheme="minorHAnsi"/>
              </w:rPr>
              <w:t xml:space="preserve"> </w:t>
            </w:r>
            <w:r w:rsidRPr="00907043">
              <w:rPr>
                <w:rFonts w:cstheme="minorHAnsi"/>
              </w:rPr>
              <w:t>Toute fertilisation azotée minérale supérieure à 30 unités d’azote par ha et par an est dûment justifiée (enherbement, vigueur insuffisante de la vigne).</w:t>
            </w:r>
          </w:p>
        </w:tc>
        <w:tc>
          <w:tcPr>
            <w:tcW w:w="4794" w:type="dxa"/>
            <w:vAlign w:val="center"/>
          </w:tcPr>
          <w:p w:rsidR="007032F9" w:rsidRDefault="004042AF" w:rsidP="004042AF">
            <w:r>
              <w:t>-cahier d’épandage</w:t>
            </w:r>
          </w:p>
          <w:p w:rsidR="004042AF" w:rsidRDefault="004042AF" w:rsidP="004042AF">
            <w:r>
              <w:t>-plan de fumure prévisionnel</w:t>
            </w:r>
          </w:p>
        </w:tc>
      </w:tr>
      <w:tr w:rsidR="007032F9" w:rsidRPr="0002756C" w:rsidTr="007032F9">
        <w:trPr>
          <w:trHeight w:val="517"/>
        </w:trPr>
        <w:tc>
          <w:tcPr>
            <w:tcW w:w="4794" w:type="dxa"/>
            <w:vAlign w:val="center"/>
          </w:tcPr>
          <w:p w:rsidR="007032F9" w:rsidRPr="00907043" w:rsidRDefault="007032F9" w:rsidP="007032F9">
            <w:pPr>
              <w:rPr>
                <w:rFonts w:cstheme="minorHAnsi"/>
                <w:sz w:val="24"/>
                <w:szCs w:val="24"/>
              </w:rPr>
            </w:pPr>
            <w:r w:rsidRPr="001F042F">
              <w:rPr>
                <w:rFonts w:cstheme="minorHAnsi"/>
                <w:b/>
              </w:rPr>
              <w:t>54 :</w:t>
            </w:r>
            <w:r>
              <w:rPr>
                <w:rFonts w:cstheme="minorHAnsi"/>
              </w:rPr>
              <w:t xml:space="preserve"> </w:t>
            </w:r>
            <w:r w:rsidRPr="00907043">
              <w:rPr>
                <w:rFonts w:cstheme="minorHAnsi"/>
              </w:rPr>
              <w:t>Afin de réduire l’empreinte écologique du matériel de palissage et d’améliorer son intégration paysagère, des piquets de tête en bois certifié ou d’origine loc</w:t>
            </w:r>
            <w:r>
              <w:rPr>
                <w:rFonts w:cstheme="minorHAnsi"/>
              </w:rPr>
              <w:t>ale sont installés dans les nou</w:t>
            </w:r>
            <w:r w:rsidRPr="00907043">
              <w:rPr>
                <w:rFonts w:cstheme="minorHAnsi"/>
              </w:rPr>
              <w:t>velles plantations. La certification porte sur l’exploitation dur</w:t>
            </w:r>
            <w:r>
              <w:rPr>
                <w:rFonts w:cstheme="minorHAnsi"/>
              </w:rPr>
              <w:t>able des forêts et/ou le traite</w:t>
            </w:r>
            <w:r w:rsidRPr="00907043">
              <w:rPr>
                <w:rFonts w:cstheme="minorHAnsi"/>
              </w:rPr>
              <w:t>ment des bois.</w:t>
            </w:r>
          </w:p>
        </w:tc>
        <w:tc>
          <w:tcPr>
            <w:tcW w:w="4794" w:type="dxa"/>
            <w:vAlign w:val="center"/>
          </w:tcPr>
          <w:p w:rsidR="007032F9" w:rsidRDefault="007032F9" w:rsidP="007032F9">
            <w:r>
              <w:t>-Facture d’achat</w:t>
            </w:r>
          </w:p>
          <w:p w:rsidR="007032F9" w:rsidRDefault="007032F9" w:rsidP="007032F9">
            <w:r>
              <w:t>-Etiquettes attestant de la certification</w:t>
            </w:r>
          </w:p>
          <w:p w:rsidR="007032F9" w:rsidRDefault="007032F9" w:rsidP="007032F9">
            <w:r>
              <w:t>-Attestation de provenance</w:t>
            </w:r>
          </w:p>
        </w:tc>
      </w:tr>
    </w:tbl>
    <w:p w:rsidR="00F33A12" w:rsidRPr="0002756C" w:rsidRDefault="00F33A12" w:rsidP="007032F9"/>
    <w:sectPr w:rsidR="00F33A12" w:rsidRPr="0002756C" w:rsidSect="006C4B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4F" w:rsidRDefault="0025624F" w:rsidP="00A9059C">
      <w:pPr>
        <w:spacing w:after="0" w:line="240" w:lineRule="auto"/>
      </w:pPr>
      <w:r>
        <w:separator/>
      </w:r>
    </w:p>
  </w:endnote>
  <w:endnote w:type="continuationSeparator" w:id="0">
    <w:p w:rsidR="0025624F" w:rsidRDefault="0025624F" w:rsidP="00A9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4F" w:rsidRDefault="0025624F" w:rsidP="00A9059C">
      <w:pPr>
        <w:spacing w:after="0" w:line="240" w:lineRule="auto"/>
      </w:pPr>
      <w:r>
        <w:separator/>
      </w:r>
    </w:p>
  </w:footnote>
  <w:footnote w:type="continuationSeparator" w:id="0">
    <w:p w:rsidR="0025624F" w:rsidRDefault="0025624F" w:rsidP="00A9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6A4"/>
    <w:multiLevelType w:val="hybridMultilevel"/>
    <w:tmpl w:val="B400D970"/>
    <w:lvl w:ilvl="0" w:tplc="E83860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231761"/>
    <w:multiLevelType w:val="hybridMultilevel"/>
    <w:tmpl w:val="17AA58D4"/>
    <w:lvl w:ilvl="0" w:tplc="5E0089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C24DD5"/>
    <w:multiLevelType w:val="hybridMultilevel"/>
    <w:tmpl w:val="88CEA980"/>
    <w:lvl w:ilvl="0" w:tplc="41224536">
      <w:start w:val="3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F50A57"/>
    <w:multiLevelType w:val="hybridMultilevel"/>
    <w:tmpl w:val="F8FC9DEE"/>
    <w:lvl w:ilvl="0" w:tplc="71764226">
      <w:start w:val="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B348C6"/>
    <w:multiLevelType w:val="hybridMultilevel"/>
    <w:tmpl w:val="26E454EA"/>
    <w:lvl w:ilvl="0" w:tplc="218088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9C"/>
    <w:rsid w:val="0002756C"/>
    <w:rsid w:val="000734FE"/>
    <w:rsid w:val="00090A67"/>
    <w:rsid w:val="000A06D4"/>
    <w:rsid w:val="0010510F"/>
    <w:rsid w:val="001A09A3"/>
    <w:rsid w:val="001F042F"/>
    <w:rsid w:val="0025624F"/>
    <w:rsid w:val="00277C2A"/>
    <w:rsid w:val="00300AD4"/>
    <w:rsid w:val="00383B1A"/>
    <w:rsid w:val="003B0929"/>
    <w:rsid w:val="004042AF"/>
    <w:rsid w:val="004435D3"/>
    <w:rsid w:val="006B3EAE"/>
    <w:rsid w:val="006C4BE4"/>
    <w:rsid w:val="006C6B54"/>
    <w:rsid w:val="00702DBC"/>
    <w:rsid w:val="007032F9"/>
    <w:rsid w:val="00704B3F"/>
    <w:rsid w:val="00852C24"/>
    <w:rsid w:val="00907043"/>
    <w:rsid w:val="00A9059C"/>
    <w:rsid w:val="00AB7683"/>
    <w:rsid w:val="00BC687C"/>
    <w:rsid w:val="00BE0EAA"/>
    <w:rsid w:val="00C22E41"/>
    <w:rsid w:val="00CB32BF"/>
    <w:rsid w:val="00D5373D"/>
    <w:rsid w:val="00DB6B61"/>
    <w:rsid w:val="00DF4E07"/>
    <w:rsid w:val="00E960F2"/>
    <w:rsid w:val="00EB1308"/>
    <w:rsid w:val="00F33A12"/>
    <w:rsid w:val="00FF0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059C"/>
    <w:pPr>
      <w:tabs>
        <w:tab w:val="center" w:pos="4536"/>
        <w:tab w:val="right" w:pos="9072"/>
      </w:tabs>
      <w:spacing w:after="0" w:line="240" w:lineRule="auto"/>
    </w:pPr>
  </w:style>
  <w:style w:type="character" w:customStyle="1" w:styleId="En-tteCar">
    <w:name w:val="En-tête Car"/>
    <w:basedOn w:val="Policepardfaut"/>
    <w:link w:val="En-tte"/>
    <w:uiPriority w:val="99"/>
    <w:rsid w:val="00A9059C"/>
  </w:style>
  <w:style w:type="paragraph" w:styleId="Pieddepage">
    <w:name w:val="footer"/>
    <w:basedOn w:val="Normal"/>
    <w:link w:val="PieddepageCar"/>
    <w:uiPriority w:val="99"/>
    <w:unhideWhenUsed/>
    <w:rsid w:val="00A90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59C"/>
  </w:style>
  <w:style w:type="paragraph" w:styleId="Textedebulles">
    <w:name w:val="Balloon Text"/>
    <w:basedOn w:val="Normal"/>
    <w:link w:val="TextedebullesCar"/>
    <w:uiPriority w:val="99"/>
    <w:semiHidden/>
    <w:unhideWhenUsed/>
    <w:rsid w:val="00A90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59C"/>
    <w:rPr>
      <w:rFonts w:ascii="Tahoma" w:hAnsi="Tahoma" w:cs="Tahoma"/>
      <w:sz w:val="16"/>
      <w:szCs w:val="16"/>
    </w:rPr>
  </w:style>
  <w:style w:type="table" w:styleId="Grilledutableau">
    <w:name w:val="Table Grid"/>
    <w:basedOn w:val="TableauNormal"/>
    <w:uiPriority w:val="59"/>
    <w:rsid w:val="00A9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3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059C"/>
    <w:pPr>
      <w:tabs>
        <w:tab w:val="center" w:pos="4536"/>
        <w:tab w:val="right" w:pos="9072"/>
      </w:tabs>
      <w:spacing w:after="0" w:line="240" w:lineRule="auto"/>
    </w:pPr>
  </w:style>
  <w:style w:type="character" w:customStyle="1" w:styleId="En-tteCar">
    <w:name w:val="En-tête Car"/>
    <w:basedOn w:val="Policepardfaut"/>
    <w:link w:val="En-tte"/>
    <w:uiPriority w:val="99"/>
    <w:rsid w:val="00A9059C"/>
  </w:style>
  <w:style w:type="paragraph" w:styleId="Pieddepage">
    <w:name w:val="footer"/>
    <w:basedOn w:val="Normal"/>
    <w:link w:val="PieddepageCar"/>
    <w:uiPriority w:val="99"/>
    <w:unhideWhenUsed/>
    <w:rsid w:val="00A90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59C"/>
  </w:style>
  <w:style w:type="paragraph" w:styleId="Textedebulles">
    <w:name w:val="Balloon Text"/>
    <w:basedOn w:val="Normal"/>
    <w:link w:val="TextedebullesCar"/>
    <w:uiPriority w:val="99"/>
    <w:semiHidden/>
    <w:unhideWhenUsed/>
    <w:rsid w:val="00A90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59C"/>
    <w:rPr>
      <w:rFonts w:ascii="Tahoma" w:hAnsi="Tahoma" w:cs="Tahoma"/>
      <w:sz w:val="16"/>
      <w:szCs w:val="16"/>
    </w:rPr>
  </w:style>
  <w:style w:type="table" w:styleId="Grilledutableau">
    <w:name w:val="Table Grid"/>
    <w:basedOn w:val="TableauNormal"/>
    <w:uiPriority w:val="59"/>
    <w:rsid w:val="00A9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7688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GRANGER Diane</dc:creator>
  <cp:lastModifiedBy>Michel Beatrice</cp:lastModifiedBy>
  <cp:revision>2</cp:revision>
  <cp:lastPrinted>2020-11-12T15:55:00Z</cp:lastPrinted>
  <dcterms:created xsi:type="dcterms:W3CDTF">2020-11-12T15:55:00Z</dcterms:created>
  <dcterms:modified xsi:type="dcterms:W3CDTF">2020-11-12T15:55:00Z</dcterms:modified>
</cp:coreProperties>
</file>