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9C" w:rsidRDefault="006845DA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-242570</wp:posOffset>
                </wp:positionV>
                <wp:extent cx="4743450" cy="1066800"/>
                <wp:effectExtent l="0" t="0" r="19050" b="190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C632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5D4" w:rsidRDefault="008625D4" w:rsidP="00A905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SE PREPARER A L’AUDIT : DOCUMENTS A RASSEMBLER</w:t>
                            </w:r>
                          </w:p>
                          <w:p w:rsidR="008625D4" w:rsidRPr="0011234A" w:rsidRDefault="008625D4" w:rsidP="00A905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Etape 2 : En route vers la Haute Valeur Environnementale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27.8pt;margin-top:-19.1pt;width:373.5pt;height:8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" fillcolor="#8ec632" strokeweight="1.5pt">
                <v:textbox>
                  <w:txbxContent>
                    <w:p w:rsidR="008625D4" w:rsidRDefault="008625D4" w:rsidP="00A9059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SE PREPARER A L’AUDIT : DOCUMENTS A RASSEMBLER</w:t>
                      </w:r>
                    </w:p>
                    <w:p w:rsidR="008625D4" w:rsidRPr="0011234A" w:rsidRDefault="008625D4" w:rsidP="00A9059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Etape 2 : En route vers la Haute Valeur Environnementale</w:t>
                      </w:r>
                    </w:p>
                  </w:txbxContent>
                </v:textbox>
              </v:roundrect>
            </w:pict>
          </mc:Fallback>
        </mc:AlternateContent>
      </w:r>
      <w:r w:rsidR="00702DBC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-280670</wp:posOffset>
            </wp:positionH>
            <wp:positionV relativeFrom="margin">
              <wp:posOffset>-518795</wp:posOffset>
            </wp:positionV>
            <wp:extent cx="1254125" cy="1419225"/>
            <wp:effectExtent l="0" t="0" r="3175" b="9525"/>
            <wp:wrapSquare wrapText="bothSides"/>
            <wp:docPr id="2" name="Image 2" descr="RÃ©sultat de recherche d'images pour &quot;chambre d'agriculture du vignoble champen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hambre d'agriculture du vignoble champenoi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059C" w:rsidRPr="00A9059C" w:rsidRDefault="00A9059C" w:rsidP="00A9059C"/>
    <w:p w:rsidR="0010510F" w:rsidRDefault="0010510F" w:rsidP="00A9059C"/>
    <w:p w:rsidR="00277C2A" w:rsidRPr="00A9059C" w:rsidRDefault="00277C2A" w:rsidP="00A9059C"/>
    <w:tbl>
      <w:tblPr>
        <w:tblStyle w:val="Grilledutableau"/>
        <w:tblpPr w:leftFromText="141" w:rightFromText="141" w:vertAnchor="text" w:horzAnchor="margin" w:tblpY="238"/>
        <w:tblW w:w="9588" w:type="dxa"/>
        <w:tblLook w:val="04A0" w:firstRow="1" w:lastRow="0" w:firstColumn="1" w:lastColumn="0" w:noHBand="0" w:noVBand="1"/>
      </w:tblPr>
      <w:tblGrid>
        <w:gridCol w:w="4794"/>
        <w:gridCol w:w="4794"/>
      </w:tblGrid>
      <w:tr w:rsidR="0010510F" w:rsidTr="0010510F">
        <w:trPr>
          <w:trHeight w:val="660"/>
        </w:trPr>
        <w:tc>
          <w:tcPr>
            <w:tcW w:w="4794" w:type="dxa"/>
            <w:vAlign w:val="center"/>
          </w:tcPr>
          <w:p w:rsidR="0010510F" w:rsidRPr="00704B3F" w:rsidRDefault="0010510F" w:rsidP="0010510F">
            <w:pPr>
              <w:jc w:val="center"/>
              <w:rPr>
                <w:b/>
              </w:rPr>
            </w:pPr>
            <w:r w:rsidRPr="00704B3F">
              <w:rPr>
                <w:b/>
                <w:sz w:val="28"/>
              </w:rPr>
              <w:t>Exigence</w:t>
            </w:r>
          </w:p>
        </w:tc>
        <w:tc>
          <w:tcPr>
            <w:tcW w:w="4794" w:type="dxa"/>
            <w:vAlign w:val="center"/>
          </w:tcPr>
          <w:p w:rsidR="0010510F" w:rsidRPr="00A9059C" w:rsidRDefault="0010510F" w:rsidP="0010510F">
            <w:pPr>
              <w:jc w:val="center"/>
              <w:rPr>
                <w:b/>
              </w:rPr>
            </w:pPr>
            <w:r w:rsidRPr="00A9059C">
              <w:rPr>
                <w:b/>
                <w:sz w:val="28"/>
              </w:rPr>
              <w:t>Documents admis</w:t>
            </w:r>
          </w:p>
        </w:tc>
      </w:tr>
      <w:tr w:rsidR="00451F29" w:rsidTr="0010510F">
        <w:trPr>
          <w:trHeight w:val="488"/>
        </w:trPr>
        <w:tc>
          <w:tcPr>
            <w:tcW w:w="4794" w:type="dxa"/>
            <w:vAlign w:val="center"/>
          </w:tcPr>
          <w:p w:rsidR="00451F29" w:rsidRPr="00451F29" w:rsidRDefault="00451F29">
            <w:pPr>
              <w:rPr>
                <w:rFonts w:cstheme="minorHAnsi"/>
                <w:sz w:val="24"/>
                <w:szCs w:val="24"/>
              </w:rPr>
            </w:pPr>
            <w:r w:rsidRPr="00451F29">
              <w:rPr>
                <w:rFonts w:cstheme="minorHAnsi"/>
                <w:b/>
              </w:rPr>
              <w:t>4 :</w:t>
            </w:r>
            <w:r>
              <w:rPr>
                <w:rFonts w:cstheme="minorHAnsi"/>
              </w:rPr>
              <w:t xml:space="preserve"> </w:t>
            </w:r>
            <w:r w:rsidRPr="00451F29">
              <w:rPr>
                <w:rFonts w:cstheme="minorHAnsi"/>
              </w:rPr>
              <w:t>L’exploitant tient à jour un cahier d’exploitation (supports papier ou numérique). Les interventions sont enregistrées sous 8 jours et les enregistrements sont conservés pendant une durée d’au moins 5 ans.</w:t>
            </w:r>
          </w:p>
        </w:tc>
        <w:tc>
          <w:tcPr>
            <w:tcW w:w="4794" w:type="dxa"/>
            <w:vAlign w:val="center"/>
          </w:tcPr>
          <w:p w:rsidR="00451F29" w:rsidRDefault="008C38A2" w:rsidP="00451F29">
            <w:r>
              <w:t>Cahier d’exploitation (=traçabilité</w:t>
            </w:r>
            <w:r w:rsidR="00451F29">
              <w:t xml:space="preserve"> des traitements, travaux</w:t>
            </w:r>
            <w:r>
              <w:t xml:space="preserve"> mécaniques, manuels, y compris ceux réalisés en prestations)</w:t>
            </w:r>
          </w:p>
        </w:tc>
      </w:tr>
      <w:tr w:rsidR="00451F29" w:rsidTr="0010510F">
        <w:trPr>
          <w:trHeight w:val="517"/>
        </w:trPr>
        <w:tc>
          <w:tcPr>
            <w:tcW w:w="4794" w:type="dxa"/>
            <w:vAlign w:val="center"/>
          </w:tcPr>
          <w:p w:rsidR="00451F29" w:rsidRPr="00451F29" w:rsidRDefault="00C36F70">
            <w:pPr>
              <w:rPr>
                <w:rFonts w:cstheme="minorHAnsi"/>
                <w:sz w:val="24"/>
                <w:szCs w:val="24"/>
              </w:rPr>
            </w:pPr>
            <w:r w:rsidRPr="00C36F70">
              <w:rPr>
                <w:rFonts w:cstheme="minorHAnsi"/>
                <w:b/>
              </w:rPr>
              <w:t>5 :</w:t>
            </w:r>
            <w:r>
              <w:rPr>
                <w:rFonts w:cstheme="minorHAnsi"/>
              </w:rPr>
              <w:t xml:space="preserve"> </w:t>
            </w:r>
            <w:r w:rsidR="00451F29" w:rsidRPr="00451F29">
              <w:rPr>
                <w:rFonts w:cstheme="minorHAnsi"/>
              </w:rPr>
              <w:t>L’exploitant dispose d’une carte à jour (support papier ou numérique) et à une échelle permettant de localiser :</w:t>
            </w:r>
            <w:r w:rsidR="00451F29" w:rsidRPr="00451F29">
              <w:rPr>
                <w:rFonts w:cstheme="minorHAnsi"/>
              </w:rPr>
              <w:br/>
              <w:t>• les bâtiments ;</w:t>
            </w:r>
            <w:r w:rsidR="00451F29" w:rsidRPr="00451F29">
              <w:rPr>
                <w:rFonts w:cstheme="minorHAnsi"/>
              </w:rPr>
              <w:br/>
              <w:t>• toutes les parcelles de l’exploitation ;</w:t>
            </w:r>
            <w:r w:rsidR="00451F29" w:rsidRPr="00451F29">
              <w:rPr>
                <w:rFonts w:cstheme="minorHAnsi"/>
              </w:rPr>
              <w:br/>
              <w:t>• les zones à enjeux environnementaux, en particulier les périmètres d’alimentation de captage des eaux potables ;</w:t>
            </w:r>
            <w:r w:rsidR="00451F29" w:rsidRPr="00451F29">
              <w:rPr>
                <w:rFonts w:cstheme="minorHAnsi"/>
              </w:rPr>
              <w:br/>
              <w:t>• les cours d’eau et les points d’eau ;</w:t>
            </w:r>
            <w:r w:rsidR="00451F29" w:rsidRPr="00451F29">
              <w:rPr>
                <w:rFonts w:cstheme="minorHAnsi"/>
              </w:rPr>
              <w:br/>
              <w:t>• les infrastructures agro-écologiques (IAE) ;</w:t>
            </w:r>
            <w:r w:rsidR="00451F29" w:rsidRPr="00451F29">
              <w:rPr>
                <w:rFonts w:cstheme="minorHAnsi"/>
              </w:rPr>
              <w:br/>
              <w:t>• les petits éléments bâtis du vignoble ;</w:t>
            </w:r>
            <w:r w:rsidR="00451F29" w:rsidRPr="00451F29">
              <w:rPr>
                <w:rFonts w:cstheme="minorHAnsi"/>
              </w:rPr>
              <w:br/>
              <w:t>• les établissements acceuillant ou hébergeant des personnes vulnérables.</w:t>
            </w:r>
          </w:p>
        </w:tc>
        <w:tc>
          <w:tcPr>
            <w:tcW w:w="4794" w:type="dxa"/>
            <w:vAlign w:val="center"/>
          </w:tcPr>
          <w:p w:rsidR="00451F29" w:rsidRDefault="008C38A2" w:rsidP="00451F29">
            <w:r>
              <w:t>-Cartographie</w:t>
            </w:r>
            <w:r w:rsidR="00451F29">
              <w:t xml:space="preserve"> à jour de l’exploitation</w:t>
            </w:r>
          </w:p>
          <w:p w:rsidR="008C38A2" w:rsidRDefault="008C38A2" w:rsidP="00451F29">
            <w:r>
              <w:t>(sur logiciel, internet ou version papier, si papier, daté le document)</w:t>
            </w:r>
          </w:p>
        </w:tc>
      </w:tr>
      <w:tr w:rsidR="00451F29" w:rsidTr="0010510F">
        <w:trPr>
          <w:trHeight w:val="488"/>
        </w:trPr>
        <w:tc>
          <w:tcPr>
            <w:tcW w:w="4794" w:type="dxa"/>
            <w:vAlign w:val="center"/>
          </w:tcPr>
          <w:p w:rsidR="00451F29" w:rsidRPr="00451F29" w:rsidRDefault="00C36F70">
            <w:pPr>
              <w:rPr>
                <w:rFonts w:cstheme="minorHAnsi"/>
                <w:sz w:val="24"/>
                <w:szCs w:val="24"/>
              </w:rPr>
            </w:pPr>
            <w:r w:rsidRPr="00C36F70">
              <w:rPr>
                <w:rFonts w:cstheme="minorHAnsi"/>
                <w:b/>
              </w:rPr>
              <w:t>6 :</w:t>
            </w:r>
            <w:r>
              <w:rPr>
                <w:rFonts w:cstheme="minorHAnsi"/>
              </w:rPr>
              <w:t xml:space="preserve"> </w:t>
            </w:r>
            <w:r w:rsidR="00451F29" w:rsidRPr="00451F29">
              <w:rPr>
                <w:rFonts w:cstheme="minorHAnsi"/>
              </w:rPr>
              <w:t>Si l’exploitation comporte des parcelles incluses dans un site Natura 2000 :</w:t>
            </w:r>
            <w:r w:rsidR="00451F29" w:rsidRPr="00451F29">
              <w:rPr>
                <w:rFonts w:cstheme="minorHAnsi"/>
              </w:rPr>
              <w:br/>
              <w:t>• l’exploitant connaît et localise ces parcelles ;</w:t>
            </w:r>
            <w:r w:rsidR="00451F29" w:rsidRPr="00451F29">
              <w:rPr>
                <w:rFonts w:cstheme="minorHAnsi"/>
              </w:rPr>
              <w:br/>
              <w:t>• il met en œuvre dans ces zones les mesures cons</w:t>
            </w:r>
            <w:r>
              <w:rPr>
                <w:rFonts w:cstheme="minorHAnsi"/>
              </w:rPr>
              <w:t>ervatoires prévues par les DOCu</w:t>
            </w:r>
            <w:r w:rsidR="00451F29" w:rsidRPr="00451F29">
              <w:rPr>
                <w:rFonts w:cstheme="minorHAnsi"/>
              </w:rPr>
              <w:t>ments d’OBjectifs (DOCOB) lorsqu’ils existent.</w:t>
            </w:r>
          </w:p>
        </w:tc>
        <w:tc>
          <w:tcPr>
            <w:tcW w:w="4794" w:type="dxa"/>
            <w:vAlign w:val="center"/>
          </w:tcPr>
          <w:p w:rsidR="00C36F70" w:rsidRDefault="00451F29" w:rsidP="00C36F70">
            <w:r>
              <w:t>-</w:t>
            </w:r>
            <w:r w:rsidR="00C36F70">
              <w:t>C</w:t>
            </w:r>
            <w:r>
              <w:t>arte d’exploitation</w:t>
            </w:r>
            <w:r w:rsidR="00C36F70">
              <w:t xml:space="preserve"> : Voir sur Géoportail : </w:t>
            </w:r>
          </w:p>
          <w:p w:rsidR="00C36F70" w:rsidRDefault="00C36F70" w:rsidP="00C36F70">
            <w:r>
              <w:t xml:space="preserve">Taper le nom de la commune, à gauche trouver la carte dans : Développement Durable et Energie, puis Espaces protégés, puis </w:t>
            </w:r>
            <w:r w:rsidR="008625D4">
              <w:t xml:space="preserve">sélectionner </w:t>
            </w:r>
            <w:r>
              <w:t>les 2 cartes </w:t>
            </w:r>
            <w:r w:rsidR="008625D4">
              <w:t xml:space="preserve">en cliquant dessus </w:t>
            </w:r>
            <w:r>
              <w:t xml:space="preserve">: </w:t>
            </w:r>
          </w:p>
          <w:p w:rsidR="00C36F70" w:rsidRDefault="00C36F70" w:rsidP="00C36F70">
            <w:r>
              <w:t>Sites Natura 2000 (Directive Oiseaux)</w:t>
            </w:r>
          </w:p>
          <w:p w:rsidR="00C36F70" w:rsidRDefault="00C36F70" w:rsidP="00C36F70">
            <w:r>
              <w:t>Sites Natura 2000 (Directive Habitats)</w:t>
            </w:r>
          </w:p>
          <w:p w:rsidR="00C36F70" w:rsidRDefault="00C36F70" w:rsidP="00C36F70"/>
          <w:p w:rsidR="008625D4" w:rsidRDefault="00C36F70" w:rsidP="00C36F70">
            <w:r>
              <w:t>Le DOCOB est accessible sur le site de l’INPN</w:t>
            </w:r>
            <w:r w:rsidR="008625D4">
              <w:t xml:space="preserve">. </w:t>
            </w:r>
          </w:p>
        </w:tc>
      </w:tr>
      <w:tr w:rsidR="00451F29" w:rsidTr="0010510F">
        <w:trPr>
          <w:trHeight w:val="488"/>
        </w:trPr>
        <w:tc>
          <w:tcPr>
            <w:tcW w:w="4794" w:type="dxa"/>
            <w:vAlign w:val="center"/>
          </w:tcPr>
          <w:p w:rsidR="00451F29" w:rsidRPr="00451F29" w:rsidRDefault="008625D4">
            <w:pPr>
              <w:rPr>
                <w:rFonts w:cstheme="minorHAnsi"/>
                <w:sz w:val="24"/>
                <w:szCs w:val="24"/>
              </w:rPr>
            </w:pPr>
            <w:r w:rsidRPr="008625D4">
              <w:rPr>
                <w:rFonts w:cstheme="minorHAnsi"/>
                <w:b/>
              </w:rPr>
              <w:t>8 :</w:t>
            </w:r>
            <w:r>
              <w:rPr>
                <w:rFonts w:cstheme="minorHAnsi"/>
              </w:rPr>
              <w:t xml:space="preserve"> </w:t>
            </w:r>
            <w:r w:rsidR="00451F29" w:rsidRPr="00451F29">
              <w:rPr>
                <w:rFonts w:cstheme="minorHAnsi"/>
              </w:rPr>
              <w:t>L’exploitant dispose de moyens d’aide à la décision permettant de justifier chaque intervention tels que : observations sur l’état sanitaire des vignes dans des parcelles représentatives de l’exploitation, grilles de risque, bulletins de santé du végétal ou Avertissements Viticoles®. Il bénéficie, notamment des conseils d’au moins un service spécialisé en conseils viticoles, de manière individuelle ou collective.</w:t>
            </w:r>
          </w:p>
        </w:tc>
        <w:tc>
          <w:tcPr>
            <w:tcW w:w="4794" w:type="dxa"/>
            <w:vAlign w:val="center"/>
          </w:tcPr>
          <w:p w:rsidR="00451F29" w:rsidRDefault="00451F29" w:rsidP="008625D4">
            <w:r>
              <w:t>-</w:t>
            </w:r>
            <w:r w:rsidR="008C38A2">
              <w:t>Cahier d’exploitation (traçabilité)</w:t>
            </w:r>
          </w:p>
          <w:p w:rsidR="008625D4" w:rsidRDefault="008625D4" w:rsidP="008625D4">
            <w:r>
              <w:t xml:space="preserve">-Bulletin de Santé du Végétal (lien BSV: </w:t>
            </w:r>
            <w:hyperlink r:id="rId9" w:history="1">
              <w:r w:rsidRPr="008625D4">
                <w:rPr>
                  <w:rStyle w:val="Lienhypertexte"/>
                  <w:sz w:val="18"/>
                </w:rPr>
                <w:t>https://grandest.chambre-agriculture.fr/productions-agricoles/ecophyto/bulletins-de-sante-du-vegetal/bsv-vigne-champagne-ardenne/</w:t>
              </w:r>
            </w:hyperlink>
          </w:p>
          <w:p w:rsidR="008625D4" w:rsidRDefault="008625D4" w:rsidP="008625D4">
            <w:r>
              <w:t>-Avertissements viticoles</w:t>
            </w:r>
          </w:p>
          <w:p w:rsidR="008625D4" w:rsidRDefault="008625D4" w:rsidP="008625D4">
            <w:r>
              <w:t>-Bulletin technique d’un organisme de conseil</w:t>
            </w:r>
          </w:p>
        </w:tc>
      </w:tr>
      <w:tr w:rsidR="00451F29" w:rsidTr="0010510F">
        <w:trPr>
          <w:trHeight w:val="517"/>
        </w:trPr>
        <w:tc>
          <w:tcPr>
            <w:tcW w:w="4794" w:type="dxa"/>
            <w:vAlign w:val="center"/>
          </w:tcPr>
          <w:p w:rsidR="00451F29" w:rsidRPr="00451F29" w:rsidRDefault="008625D4">
            <w:pPr>
              <w:rPr>
                <w:rFonts w:cstheme="minorHAnsi"/>
                <w:sz w:val="24"/>
                <w:szCs w:val="24"/>
              </w:rPr>
            </w:pPr>
            <w:r w:rsidRPr="008625D4">
              <w:rPr>
                <w:rFonts w:cstheme="minorHAnsi"/>
                <w:b/>
              </w:rPr>
              <w:t>9 :</w:t>
            </w:r>
            <w:r>
              <w:rPr>
                <w:rFonts w:cstheme="minorHAnsi"/>
              </w:rPr>
              <w:t xml:space="preserve"> </w:t>
            </w:r>
            <w:r w:rsidR="00451F29" w:rsidRPr="00451F29">
              <w:rPr>
                <w:rFonts w:cstheme="minorHAnsi"/>
              </w:rPr>
              <w:t xml:space="preserve">L’exploitant déclenche ses traitements en respectant les stratégies de lutte établies et con-seillées par les préconisateurs ou lorsque les seuils d’intervention sont atteints. </w:t>
            </w:r>
          </w:p>
        </w:tc>
        <w:tc>
          <w:tcPr>
            <w:tcW w:w="4794" w:type="dxa"/>
            <w:vAlign w:val="center"/>
          </w:tcPr>
          <w:p w:rsidR="008C38A2" w:rsidRDefault="008C38A2" w:rsidP="008C38A2">
            <w:r>
              <w:t>Cahier d’exploitation (traçabilité)</w:t>
            </w:r>
          </w:p>
          <w:p w:rsidR="008C38A2" w:rsidRDefault="008C38A2" w:rsidP="008C38A2">
            <w:r>
              <w:t xml:space="preserve">-Bulletin de Santé du Végétal (lien BSV: </w:t>
            </w:r>
            <w:hyperlink r:id="rId10" w:history="1">
              <w:r w:rsidRPr="008625D4">
                <w:rPr>
                  <w:rStyle w:val="Lienhypertexte"/>
                  <w:sz w:val="18"/>
                </w:rPr>
                <w:t>https://grandest.chambre-agriculture.fr/productions-agricoles/ecophyto/bulletins-de-sante-du-vegetal/bsv-vigne-champagne-ardenne/</w:t>
              </w:r>
            </w:hyperlink>
          </w:p>
          <w:p w:rsidR="008C38A2" w:rsidRDefault="008C38A2" w:rsidP="008C38A2">
            <w:r>
              <w:lastRenderedPageBreak/>
              <w:t>-Avertissements viticoles</w:t>
            </w:r>
          </w:p>
          <w:p w:rsidR="00451F29" w:rsidRDefault="008C38A2" w:rsidP="008C38A2">
            <w:r>
              <w:t>-Bulletin technique d’un organisme de conseil</w:t>
            </w:r>
          </w:p>
        </w:tc>
      </w:tr>
      <w:tr w:rsidR="00451F29" w:rsidTr="0010510F">
        <w:trPr>
          <w:trHeight w:val="517"/>
        </w:trPr>
        <w:tc>
          <w:tcPr>
            <w:tcW w:w="4794" w:type="dxa"/>
            <w:vAlign w:val="center"/>
          </w:tcPr>
          <w:p w:rsidR="00451F29" w:rsidRPr="00451F29" w:rsidRDefault="008625D4">
            <w:pPr>
              <w:rPr>
                <w:rFonts w:cstheme="minorHAnsi"/>
                <w:sz w:val="24"/>
                <w:szCs w:val="24"/>
              </w:rPr>
            </w:pPr>
            <w:r w:rsidRPr="008625D4">
              <w:rPr>
                <w:rFonts w:cstheme="minorHAnsi"/>
                <w:b/>
              </w:rPr>
              <w:lastRenderedPageBreak/>
              <w:t>10 :</w:t>
            </w:r>
            <w:r>
              <w:rPr>
                <w:rFonts w:cstheme="minorHAnsi"/>
              </w:rPr>
              <w:t xml:space="preserve"> </w:t>
            </w:r>
            <w:r w:rsidR="00451F29" w:rsidRPr="00451F29">
              <w:rPr>
                <w:rFonts w:cstheme="minorHAnsi"/>
              </w:rPr>
              <w:t>L’exploitant connait la valeur fertilisante des amendements et engrais épandus.</w:t>
            </w:r>
          </w:p>
        </w:tc>
        <w:tc>
          <w:tcPr>
            <w:tcW w:w="4794" w:type="dxa"/>
            <w:vAlign w:val="center"/>
          </w:tcPr>
          <w:p w:rsidR="00451F29" w:rsidRDefault="00451F29" w:rsidP="008625D4">
            <w:r>
              <w:t>-</w:t>
            </w:r>
            <w:r w:rsidR="008C38A2">
              <w:t>Etiquette</w:t>
            </w:r>
          </w:p>
          <w:p w:rsidR="008625D4" w:rsidRDefault="008625D4" w:rsidP="008625D4">
            <w:r>
              <w:t>-Bon de livraison</w:t>
            </w:r>
          </w:p>
          <w:p w:rsidR="008625D4" w:rsidRDefault="008625D4" w:rsidP="008625D4">
            <w:r>
              <w:t>-Factures</w:t>
            </w:r>
          </w:p>
          <w:p w:rsidR="008625D4" w:rsidRDefault="008625D4" w:rsidP="008625D4">
            <w:r>
              <w:t>-Plaquette commerciale</w:t>
            </w:r>
          </w:p>
        </w:tc>
      </w:tr>
      <w:tr w:rsidR="008625D4" w:rsidTr="0010510F">
        <w:trPr>
          <w:trHeight w:val="517"/>
        </w:trPr>
        <w:tc>
          <w:tcPr>
            <w:tcW w:w="4794" w:type="dxa"/>
            <w:vAlign w:val="center"/>
          </w:tcPr>
          <w:p w:rsidR="008625D4" w:rsidRPr="008625D4" w:rsidRDefault="008625D4">
            <w:pPr>
              <w:rPr>
                <w:rFonts w:cstheme="minorHAnsi"/>
                <w:sz w:val="24"/>
                <w:szCs w:val="24"/>
              </w:rPr>
            </w:pPr>
            <w:r w:rsidRPr="008625D4">
              <w:rPr>
                <w:rFonts w:cstheme="minorHAnsi"/>
                <w:b/>
              </w:rPr>
              <w:t>12 :</w:t>
            </w:r>
            <w:r>
              <w:rPr>
                <w:rFonts w:cstheme="minorHAnsi"/>
              </w:rPr>
              <w:t xml:space="preserve"> </w:t>
            </w:r>
            <w:r w:rsidRPr="008625D4">
              <w:rPr>
                <w:rFonts w:cstheme="minorHAnsi"/>
              </w:rPr>
              <w:t>L’exploitant calcule l’indicateur « Biodiversité » selon le référentiel HVE et obtient une note supérieure ou égale à 10.</w:t>
            </w:r>
          </w:p>
        </w:tc>
        <w:tc>
          <w:tcPr>
            <w:tcW w:w="4794" w:type="dxa"/>
            <w:vAlign w:val="center"/>
          </w:tcPr>
          <w:p w:rsidR="008625D4" w:rsidRDefault="00ED5955" w:rsidP="00ED5955">
            <w:r>
              <w:t xml:space="preserve">-Grille HVE : </w:t>
            </w:r>
            <w:r w:rsidR="008625D4">
              <w:t>Résultat du calcul de l’indicateur « Biodiversité »</w:t>
            </w:r>
          </w:p>
        </w:tc>
      </w:tr>
      <w:tr w:rsidR="008625D4" w:rsidTr="0010510F">
        <w:trPr>
          <w:trHeight w:val="517"/>
        </w:trPr>
        <w:tc>
          <w:tcPr>
            <w:tcW w:w="4794" w:type="dxa"/>
            <w:vAlign w:val="center"/>
          </w:tcPr>
          <w:p w:rsidR="008625D4" w:rsidRPr="008625D4" w:rsidRDefault="008625D4">
            <w:pPr>
              <w:rPr>
                <w:rFonts w:cstheme="minorHAnsi"/>
                <w:sz w:val="24"/>
                <w:szCs w:val="24"/>
              </w:rPr>
            </w:pPr>
            <w:r w:rsidRPr="008625D4">
              <w:rPr>
                <w:rFonts w:cstheme="minorHAnsi"/>
                <w:b/>
              </w:rPr>
              <w:t>13 :</w:t>
            </w:r>
            <w:r>
              <w:rPr>
                <w:rFonts w:cstheme="minorHAnsi"/>
              </w:rPr>
              <w:t xml:space="preserve"> </w:t>
            </w:r>
            <w:r w:rsidRPr="008625D4">
              <w:rPr>
                <w:rFonts w:cstheme="minorHAnsi"/>
              </w:rPr>
              <w:t>L’exploitant calcule l’indicateur « Stratégie Phytosanitaire » selon le référentiel HVE et</w:t>
            </w:r>
            <w:r w:rsidR="00046806">
              <w:rPr>
                <w:rFonts w:cstheme="minorHAnsi"/>
              </w:rPr>
              <w:t xml:space="preserve"> obtient une note supé</w:t>
            </w:r>
            <w:r w:rsidRPr="008625D4">
              <w:rPr>
                <w:rFonts w:cstheme="minorHAnsi"/>
              </w:rPr>
              <w:t>rieure ou égale à 10.</w:t>
            </w:r>
          </w:p>
        </w:tc>
        <w:tc>
          <w:tcPr>
            <w:tcW w:w="4794" w:type="dxa"/>
            <w:vAlign w:val="center"/>
          </w:tcPr>
          <w:p w:rsidR="008625D4" w:rsidRDefault="00ED5955" w:rsidP="00046806">
            <w:r>
              <w:t>-Grille HVE : Résultat du calcul de l’indicateur « Biodiversité »</w:t>
            </w:r>
          </w:p>
        </w:tc>
      </w:tr>
      <w:tr w:rsidR="008625D4" w:rsidTr="0010510F">
        <w:trPr>
          <w:trHeight w:val="488"/>
        </w:trPr>
        <w:tc>
          <w:tcPr>
            <w:tcW w:w="4794" w:type="dxa"/>
            <w:vAlign w:val="center"/>
          </w:tcPr>
          <w:p w:rsidR="008625D4" w:rsidRPr="008625D4" w:rsidRDefault="008625D4">
            <w:pPr>
              <w:rPr>
                <w:rFonts w:cstheme="minorHAnsi"/>
                <w:sz w:val="24"/>
                <w:szCs w:val="24"/>
              </w:rPr>
            </w:pPr>
            <w:r w:rsidRPr="008625D4">
              <w:rPr>
                <w:rFonts w:cstheme="minorHAnsi"/>
                <w:b/>
              </w:rPr>
              <w:t>14 :</w:t>
            </w:r>
            <w:r>
              <w:rPr>
                <w:rFonts w:cstheme="minorHAnsi"/>
              </w:rPr>
              <w:t xml:space="preserve"> </w:t>
            </w:r>
            <w:r w:rsidRPr="008625D4">
              <w:rPr>
                <w:rFonts w:cstheme="minorHAnsi"/>
              </w:rPr>
              <w:t>L’exploitant calcule l’indicateur « Gestion de la fertilisation» selon le référenti</w:t>
            </w:r>
            <w:r w:rsidR="00046806">
              <w:rPr>
                <w:rFonts w:cstheme="minorHAnsi"/>
              </w:rPr>
              <w:t>el HVE et obtient une note supé</w:t>
            </w:r>
            <w:r w:rsidRPr="008625D4">
              <w:rPr>
                <w:rFonts w:cstheme="minorHAnsi"/>
              </w:rPr>
              <w:t>rieure ou égale à 10.</w:t>
            </w:r>
          </w:p>
        </w:tc>
        <w:tc>
          <w:tcPr>
            <w:tcW w:w="4794" w:type="dxa"/>
            <w:vAlign w:val="center"/>
          </w:tcPr>
          <w:p w:rsidR="008625D4" w:rsidRDefault="00ED5955" w:rsidP="00046806">
            <w:r>
              <w:t>-Grille HVE : Résultat du calcul de l’indicateur « Biodiversité »</w:t>
            </w:r>
          </w:p>
        </w:tc>
      </w:tr>
    </w:tbl>
    <w:p w:rsidR="0010510F" w:rsidRDefault="0010510F" w:rsidP="00A9059C"/>
    <w:p w:rsidR="00451F29" w:rsidRPr="0002756C" w:rsidRDefault="00451F29" w:rsidP="00A9059C"/>
    <w:sectPr w:rsidR="00451F29" w:rsidRPr="0002756C" w:rsidSect="00AD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7B" w:rsidRDefault="006B517B" w:rsidP="00A9059C">
      <w:pPr>
        <w:spacing w:after="0" w:line="240" w:lineRule="auto"/>
      </w:pPr>
      <w:r>
        <w:separator/>
      </w:r>
    </w:p>
  </w:endnote>
  <w:endnote w:type="continuationSeparator" w:id="0">
    <w:p w:rsidR="006B517B" w:rsidRDefault="006B517B" w:rsidP="00A9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7B" w:rsidRDefault="006B517B" w:rsidP="00A9059C">
      <w:pPr>
        <w:spacing w:after="0" w:line="240" w:lineRule="auto"/>
      </w:pPr>
      <w:r>
        <w:separator/>
      </w:r>
    </w:p>
  </w:footnote>
  <w:footnote w:type="continuationSeparator" w:id="0">
    <w:p w:rsidR="006B517B" w:rsidRDefault="006B517B" w:rsidP="00A9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6A4"/>
    <w:multiLevelType w:val="hybridMultilevel"/>
    <w:tmpl w:val="B400D970"/>
    <w:lvl w:ilvl="0" w:tplc="E838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E20DA"/>
    <w:multiLevelType w:val="hybridMultilevel"/>
    <w:tmpl w:val="340AF280"/>
    <w:lvl w:ilvl="0" w:tplc="F850DB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354A9"/>
    <w:multiLevelType w:val="hybridMultilevel"/>
    <w:tmpl w:val="B1AC9C18"/>
    <w:lvl w:ilvl="0" w:tplc="9F167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9C"/>
    <w:rsid w:val="0002756C"/>
    <w:rsid w:val="00046806"/>
    <w:rsid w:val="000734FE"/>
    <w:rsid w:val="000A06D4"/>
    <w:rsid w:val="0010510F"/>
    <w:rsid w:val="001A09A3"/>
    <w:rsid w:val="00277C2A"/>
    <w:rsid w:val="00300AD4"/>
    <w:rsid w:val="00383B1A"/>
    <w:rsid w:val="003B0929"/>
    <w:rsid w:val="004435D3"/>
    <w:rsid w:val="00451F29"/>
    <w:rsid w:val="006845DA"/>
    <w:rsid w:val="006B3EAE"/>
    <w:rsid w:val="006B517B"/>
    <w:rsid w:val="00702DBC"/>
    <w:rsid w:val="00704B3F"/>
    <w:rsid w:val="00852C24"/>
    <w:rsid w:val="008625D4"/>
    <w:rsid w:val="008C38A2"/>
    <w:rsid w:val="00A9059C"/>
    <w:rsid w:val="00AD18D7"/>
    <w:rsid w:val="00BC687C"/>
    <w:rsid w:val="00BE0EAA"/>
    <w:rsid w:val="00C22E41"/>
    <w:rsid w:val="00C36F70"/>
    <w:rsid w:val="00CB32BF"/>
    <w:rsid w:val="00D5373D"/>
    <w:rsid w:val="00DB6B61"/>
    <w:rsid w:val="00DF4E07"/>
    <w:rsid w:val="00E960F2"/>
    <w:rsid w:val="00E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59C"/>
  </w:style>
  <w:style w:type="paragraph" w:styleId="Pieddepage">
    <w:name w:val="footer"/>
    <w:basedOn w:val="Normal"/>
    <w:link w:val="PieddepageCar"/>
    <w:uiPriority w:val="99"/>
    <w:unhideWhenUsed/>
    <w:rsid w:val="00A9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59C"/>
  </w:style>
  <w:style w:type="paragraph" w:styleId="Textedebulles">
    <w:name w:val="Balloon Text"/>
    <w:basedOn w:val="Normal"/>
    <w:link w:val="TextedebullesCar"/>
    <w:uiPriority w:val="99"/>
    <w:semiHidden/>
    <w:unhideWhenUsed/>
    <w:rsid w:val="00A9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5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9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32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2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59C"/>
  </w:style>
  <w:style w:type="paragraph" w:styleId="Pieddepage">
    <w:name w:val="footer"/>
    <w:basedOn w:val="Normal"/>
    <w:link w:val="PieddepageCar"/>
    <w:uiPriority w:val="99"/>
    <w:unhideWhenUsed/>
    <w:rsid w:val="00A9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59C"/>
  </w:style>
  <w:style w:type="paragraph" w:styleId="Textedebulles">
    <w:name w:val="Balloon Text"/>
    <w:basedOn w:val="Normal"/>
    <w:link w:val="TextedebullesCar"/>
    <w:uiPriority w:val="99"/>
    <w:semiHidden/>
    <w:unhideWhenUsed/>
    <w:rsid w:val="00A9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5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9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32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2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randest.chambre-agriculture.fr/productions-agricoles/ecophyto/bulletins-de-sante-du-vegetal/bsv-vigne-champagne-arden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ndest.chambre-agriculture.fr/productions-agricoles/ecophyto/bulletins-de-sante-du-vegetal/bsv-vigne-champagne-ardenn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GRANGER Diane</dc:creator>
  <cp:lastModifiedBy>Michel Beatrice</cp:lastModifiedBy>
  <cp:revision>2</cp:revision>
  <dcterms:created xsi:type="dcterms:W3CDTF">2020-11-12T15:52:00Z</dcterms:created>
  <dcterms:modified xsi:type="dcterms:W3CDTF">2020-11-12T15:52:00Z</dcterms:modified>
</cp:coreProperties>
</file>