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9C" w:rsidRDefault="00DE6B2D">
      <w:bookmarkStart w:id="0" w:name="_GoBack"/>
      <w:bookmarkEnd w:id="0"/>
      <w:r>
        <w:rPr>
          <w:noProof/>
          <w:lang w:eastAsia="fr-FR"/>
        </w:rPr>
        <w:drawing>
          <wp:anchor distT="0" distB="0" distL="114300" distR="114300" simplePos="0" relativeHeight="251657216" behindDoc="0" locked="0" layoutInCell="1" allowOverlap="1">
            <wp:simplePos x="0" y="0"/>
            <wp:positionH relativeFrom="margin">
              <wp:posOffset>-290195</wp:posOffset>
            </wp:positionH>
            <wp:positionV relativeFrom="margin">
              <wp:posOffset>-385445</wp:posOffset>
            </wp:positionV>
            <wp:extent cx="1314450" cy="1487170"/>
            <wp:effectExtent l="0" t="0" r="0" b="0"/>
            <wp:wrapSquare wrapText="bothSides"/>
            <wp:docPr id="2" name="Image 2" descr="RÃ©sultat de recherche d'images pour &quot;chambre d'agriculture du vignoble champeno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hambre d'agriculture du vignoble champenois&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487170"/>
                    </a:xfrm>
                    <a:prstGeom prst="rect">
                      <a:avLst/>
                    </a:prstGeom>
                    <a:noFill/>
                    <a:ln>
                      <a:noFill/>
                    </a:ln>
                  </pic:spPr>
                </pic:pic>
              </a:graphicData>
            </a:graphic>
          </wp:anchor>
        </w:drawing>
      </w:r>
      <w:r w:rsidR="00053921">
        <w:rPr>
          <w:noProof/>
          <w:lang w:eastAsia="fr-FR"/>
        </w:rPr>
        <mc:AlternateContent>
          <mc:Choice Requires="wps">
            <w:drawing>
              <wp:anchor distT="0" distB="0" distL="114300" distR="114300" simplePos="0" relativeHeight="251658240" behindDoc="1" locked="0" layoutInCell="1" allowOverlap="1">
                <wp:simplePos x="0" y="0"/>
                <wp:positionH relativeFrom="column">
                  <wp:posOffset>133985</wp:posOffset>
                </wp:positionH>
                <wp:positionV relativeFrom="paragraph">
                  <wp:posOffset>-204470</wp:posOffset>
                </wp:positionV>
                <wp:extent cx="4743450" cy="866775"/>
                <wp:effectExtent l="0" t="0" r="19050" b="28575"/>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866775"/>
                        </a:xfrm>
                        <a:prstGeom prst="roundRect">
                          <a:avLst>
                            <a:gd name="adj" fmla="val 16667"/>
                          </a:avLst>
                        </a:prstGeom>
                        <a:solidFill>
                          <a:srgbClr val="8EC632"/>
                        </a:solidFill>
                        <a:ln w="19050">
                          <a:solidFill>
                            <a:srgbClr val="000000"/>
                          </a:solidFill>
                          <a:round/>
                          <a:headEnd/>
                          <a:tailEnd/>
                        </a:ln>
                      </wps:spPr>
                      <wps:txbx>
                        <w:txbxContent>
                          <w:p w:rsidR="0070752D" w:rsidRDefault="0070752D" w:rsidP="00547F65">
                            <w:pPr>
                              <w:spacing w:after="0" w:line="240" w:lineRule="auto"/>
                              <w:jc w:val="center"/>
                              <w:rPr>
                                <w:rFonts w:ascii="Arial" w:hAnsi="Arial" w:cs="Arial"/>
                                <w:b/>
                                <w:sz w:val="30"/>
                                <w:szCs w:val="30"/>
                              </w:rPr>
                            </w:pPr>
                            <w:r>
                              <w:rPr>
                                <w:rFonts w:ascii="Arial" w:hAnsi="Arial" w:cs="Arial"/>
                                <w:b/>
                                <w:sz w:val="30"/>
                                <w:szCs w:val="30"/>
                              </w:rPr>
                              <w:t>SE PREPARER A L’AUDIT : DOCUMENTS A RASSEMBLER</w:t>
                            </w:r>
                          </w:p>
                          <w:p w:rsidR="0070752D" w:rsidRPr="0011234A" w:rsidRDefault="0070752D" w:rsidP="00547F65">
                            <w:pPr>
                              <w:spacing w:after="0" w:line="240" w:lineRule="auto"/>
                              <w:jc w:val="center"/>
                              <w:rPr>
                                <w:rFonts w:ascii="Arial" w:hAnsi="Arial" w:cs="Arial"/>
                                <w:b/>
                                <w:sz w:val="30"/>
                                <w:szCs w:val="30"/>
                              </w:rPr>
                            </w:pPr>
                            <w:r>
                              <w:rPr>
                                <w:rFonts w:ascii="Arial" w:hAnsi="Arial" w:cs="Arial"/>
                                <w:b/>
                                <w:sz w:val="30"/>
                                <w:szCs w:val="30"/>
                              </w:rPr>
                              <w:t>Chapitre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 o:spid="_x0000_s1026" style="position:absolute;margin-left:10.55pt;margin-top:-16.1pt;width:373.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" fillcolor="#8ec632" strokeweight="1.5pt">
                <v:textbox>
                  <w:txbxContent>
                    <w:p w:rsidR="0070752D" w:rsidRDefault="0070752D" w:rsidP="00547F65">
                      <w:pPr>
                        <w:spacing w:after="0" w:line="240" w:lineRule="auto"/>
                        <w:jc w:val="center"/>
                        <w:rPr>
                          <w:rFonts w:ascii="Arial" w:hAnsi="Arial" w:cs="Arial"/>
                          <w:b/>
                          <w:sz w:val="30"/>
                          <w:szCs w:val="30"/>
                        </w:rPr>
                      </w:pPr>
                      <w:r>
                        <w:rPr>
                          <w:rFonts w:ascii="Arial" w:hAnsi="Arial" w:cs="Arial"/>
                          <w:b/>
                          <w:sz w:val="30"/>
                          <w:szCs w:val="30"/>
                        </w:rPr>
                        <w:t>SE PREPARER A L’AUDIT : DOCUMENTS A RASSEMBLER</w:t>
                      </w:r>
                    </w:p>
                    <w:p w:rsidR="0070752D" w:rsidRPr="0011234A" w:rsidRDefault="0070752D" w:rsidP="00547F65">
                      <w:pPr>
                        <w:spacing w:after="0" w:line="240" w:lineRule="auto"/>
                        <w:jc w:val="center"/>
                        <w:rPr>
                          <w:rFonts w:ascii="Arial" w:hAnsi="Arial" w:cs="Arial"/>
                          <w:b/>
                          <w:sz w:val="30"/>
                          <w:szCs w:val="30"/>
                        </w:rPr>
                      </w:pPr>
                      <w:r>
                        <w:rPr>
                          <w:rFonts w:ascii="Arial" w:hAnsi="Arial" w:cs="Arial"/>
                          <w:b/>
                          <w:sz w:val="30"/>
                          <w:szCs w:val="30"/>
                        </w:rPr>
                        <w:t>Chapitre 1</w:t>
                      </w:r>
                    </w:p>
                  </w:txbxContent>
                </v:textbox>
              </v:roundrect>
            </w:pict>
          </mc:Fallback>
        </mc:AlternateContent>
      </w:r>
    </w:p>
    <w:p w:rsidR="00A9059C" w:rsidRPr="00A9059C" w:rsidRDefault="00A9059C" w:rsidP="00A9059C"/>
    <w:p w:rsidR="00420296" w:rsidRDefault="00420296" w:rsidP="00A9059C"/>
    <w:p w:rsidR="00DE6B2D" w:rsidRDefault="00DE6B2D" w:rsidP="00A9059C"/>
    <w:tbl>
      <w:tblPr>
        <w:tblStyle w:val="Grilledutableau"/>
        <w:tblW w:w="9588" w:type="dxa"/>
        <w:tblLook w:val="04A0" w:firstRow="1" w:lastRow="0" w:firstColumn="1" w:lastColumn="0" w:noHBand="0" w:noVBand="1"/>
      </w:tblPr>
      <w:tblGrid>
        <w:gridCol w:w="4794"/>
        <w:gridCol w:w="4794"/>
      </w:tblGrid>
      <w:tr w:rsidR="00A9059C" w:rsidTr="00704B3F">
        <w:trPr>
          <w:trHeight w:val="660"/>
        </w:trPr>
        <w:tc>
          <w:tcPr>
            <w:tcW w:w="4794" w:type="dxa"/>
            <w:vAlign w:val="center"/>
          </w:tcPr>
          <w:p w:rsidR="00A9059C" w:rsidRPr="00704B3F" w:rsidRDefault="00A9059C" w:rsidP="00704B3F">
            <w:pPr>
              <w:jc w:val="center"/>
              <w:rPr>
                <w:b/>
              </w:rPr>
            </w:pPr>
            <w:r w:rsidRPr="00704B3F">
              <w:rPr>
                <w:b/>
                <w:sz w:val="28"/>
              </w:rPr>
              <w:t>Exigence</w:t>
            </w:r>
          </w:p>
        </w:tc>
        <w:tc>
          <w:tcPr>
            <w:tcW w:w="4794" w:type="dxa"/>
            <w:vAlign w:val="center"/>
          </w:tcPr>
          <w:p w:rsidR="00A9059C" w:rsidRPr="00A9059C" w:rsidRDefault="00A9059C" w:rsidP="00704B3F">
            <w:pPr>
              <w:jc w:val="center"/>
              <w:rPr>
                <w:b/>
              </w:rPr>
            </w:pPr>
            <w:r w:rsidRPr="00A9059C">
              <w:rPr>
                <w:b/>
                <w:sz w:val="28"/>
              </w:rPr>
              <w:t>Documents admis</w:t>
            </w:r>
          </w:p>
        </w:tc>
      </w:tr>
      <w:tr w:rsidR="00A9059C" w:rsidTr="00383B1A">
        <w:trPr>
          <w:trHeight w:val="488"/>
        </w:trPr>
        <w:tc>
          <w:tcPr>
            <w:tcW w:w="4794" w:type="dxa"/>
            <w:vAlign w:val="center"/>
          </w:tcPr>
          <w:p w:rsidR="00A9059C" w:rsidRPr="00704B3F" w:rsidRDefault="00411BD4" w:rsidP="00704B3F">
            <w:pPr>
              <w:rPr>
                <w:b/>
              </w:rPr>
            </w:pPr>
            <w:r>
              <w:rPr>
                <w:b/>
              </w:rPr>
              <w:t xml:space="preserve">R1 : </w:t>
            </w:r>
            <w:r w:rsidRPr="00411BD4">
              <w:t>L'exploitant dispose du document unique et le met à disposition de ses salariés.</w:t>
            </w:r>
          </w:p>
        </w:tc>
        <w:tc>
          <w:tcPr>
            <w:tcW w:w="4794" w:type="dxa"/>
            <w:vAlign w:val="center"/>
          </w:tcPr>
          <w:p w:rsidR="00411BD4" w:rsidRDefault="00411BD4" w:rsidP="00411BD4">
            <w:r>
              <w:t>-</w:t>
            </w:r>
            <w:r w:rsidRPr="00383B1A">
              <w:rPr>
                <w:b/>
              </w:rPr>
              <w:t>Document unique</w:t>
            </w:r>
            <w:r>
              <w:rPr>
                <w:b/>
              </w:rPr>
              <w:t xml:space="preserve"> (obligatoire)</w:t>
            </w:r>
          </w:p>
          <w:p w:rsidR="00411BD4" w:rsidRDefault="00411BD4" w:rsidP="00411BD4">
            <w:r>
              <w:t>-livret d’accueil</w:t>
            </w:r>
            <w:r w:rsidR="00B726C5">
              <w:t xml:space="preserve"> sécurité</w:t>
            </w:r>
          </w:p>
          <w:p w:rsidR="00411BD4" w:rsidRPr="00AD011E" w:rsidRDefault="00411BD4" w:rsidP="00411BD4">
            <w:pPr>
              <w:rPr>
                <w:b/>
              </w:rPr>
            </w:pPr>
            <w:r>
              <w:t>-</w:t>
            </w:r>
            <w:r w:rsidRPr="00AD011E">
              <w:t>feuille d’émargement formation interne</w:t>
            </w:r>
          </w:p>
        </w:tc>
      </w:tr>
      <w:tr w:rsidR="00572998" w:rsidTr="00383B1A">
        <w:trPr>
          <w:trHeight w:val="488"/>
        </w:trPr>
        <w:tc>
          <w:tcPr>
            <w:tcW w:w="4794" w:type="dxa"/>
            <w:vAlign w:val="center"/>
          </w:tcPr>
          <w:p w:rsidR="00572998" w:rsidRPr="00704B3F" w:rsidRDefault="00411BD4" w:rsidP="00704B3F">
            <w:pPr>
              <w:rPr>
                <w:b/>
              </w:rPr>
            </w:pPr>
            <w:r>
              <w:rPr>
                <w:b/>
              </w:rPr>
              <w:t xml:space="preserve">R2 : </w:t>
            </w:r>
            <w:r w:rsidRPr="00411BD4">
              <w:t>L’emplo</w:t>
            </w:r>
            <w:r w:rsidR="00B726C5">
              <w:t xml:space="preserve">yeur fournit à son personnel le </w:t>
            </w:r>
            <w:r w:rsidRPr="00411BD4">
              <w:t>matériel et les équipements de protection individuelle (EPI) nécessaires adaptés aux travaux effectués et aux risques encourus. Il veille à leur entretien et assure leur renouvellement.</w:t>
            </w:r>
          </w:p>
        </w:tc>
        <w:tc>
          <w:tcPr>
            <w:tcW w:w="4794" w:type="dxa"/>
            <w:vAlign w:val="center"/>
          </w:tcPr>
          <w:p w:rsidR="00411BD4" w:rsidRDefault="00411BD4" w:rsidP="00411BD4">
            <w:r>
              <w:t>-factures d’achat</w:t>
            </w:r>
          </w:p>
          <w:p w:rsidR="006E1EF3" w:rsidRPr="00572998" w:rsidRDefault="00411BD4" w:rsidP="00411BD4">
            <w:r>
              <w:t>-EPI présents sur l’exploitation</w:t>
            </w:r>
            <w:r w:rsidR="00B726C5">
              <w:t xml:space="preserve"> (pour les travaux manuels et les applications de produits)</w:t>
            </w:r>
          </w:p>
        </w:tc>
      </w:tr>
      <w:tr w:rsidR="00A9059C" w:rsidTr="00383B1A">
        <w:trPr>
          <w:trHeight w:val="488"/>
        </w:trPr>
        <w:tc>
          <w:tcPr>
            <w:tcW w:w="4794" w:type="dxa"/>
            <w:vAlign w:val="center"/>
          </w:tcPr>
          <w:p w:rsidR="00A9059C" w:rsidRPr="00704B3F" w:rsidRDefault="00411BD4" w:rsidP="00572998">
            <w:pPr>
              <w:rPr>
                <w:b/>
              </w:rPr>
            </w:pPr>
            <w:r>
              <w:rPr>
                <w:b/>
              </w:rPr>
              <w:t xml:space="preserve">R4 : </w:t>
            </w:r>
            <w:r w:rsidRPr="00411BD4">
              <w:t>Le stockage des hydrocarbures répond aux exigences réglementaires.</w:t>
            </w:r>
          </w:p>
        </w:tc>
        <w:tc>
          <w:tcPr>
            <w:tcW w:w="4794" w:type="dxa"/>
            <w:vAlign w:val="center"/>
          </w:tcPr>
          <w:p w:rsidR="00411BD4" w:rsidRDefault="00411BD4" w:rsidP="00411BD4">
            <w:r>
              <w:t>-facture d’achat</w:t>
            </w:r>
          </w:p>
          <w:p w:rsidR="00411BD4" w:rsidRDefault="00411BD4" w:rsidP="00411BD4">
            <w:r>
              <w:t>-marquage CE</w:t>
            </w:r>
            <w:r w:rsidR="00B726C5">
              <w:t xml:space="preserve"> (visible sur la cuve)</w:t>
            </w:r>
          </w:p>
          <w:p w:rsidR="00704B3F" w:rsidRDefault="00411BD4" w:rsidP="00411BD4">
            <w:r>
              <w:t>-facture de mise en conformité ou attestation de conformité</w:t>
            </w:r>
          </w:p>
        </w:tc>
      </w:tr>
      <w:tr w:rsidR="00411BD4" w:rsidTr="00383B1A">
        <w:trPr>
          <w:trHeight w:val="517"/>
        </w:trPr>
        <w:tc>
          <w:tcPr>
            <w:tcW w:w="4794" w:type="dxa"/>
            <w:vAlign w:val="center"/>
          </w:tcPr>
          <w:p w:rsidR="00411BD4" w:rsidRPr="00411BD4" w:rsidRDefault="00411BD4">
            <w:r>
              <w:rPr>
                <w:b/>
              </w:rPr>
              <w:t xml:space="preserve">R7 : </w:t>
            </w:r>
            <w:r w:rsidRPr="00411BD4">
              <w:t>L’exploitant n’utilise que des produits bénéficiant d’une Autorisation de Mise sur le Marché (AMM) et autorisés en vigne. Les recommandations d’emploi, en particulier les dose</w:t>
            </w:r>
            <w:r>
              <w:t>s, les mé</w:t>
            </w:r>
            <w:r w:rsidRPr="00411BD4">
              <w:t>langes, les limitations, les zones non traitées (ZNT) et les délais de rentrée dans les parcelles et avant récolte sont scrupuleusement respectées.</w:t>
            </w:r>
          </w:p>
        </w:tc>
        <w:tc>
          <w:tcPr>
            <w:tcW w:w="4794" w:type="dxa"/>
            <w:vAlign w:val="center"/>
          </w:tcPr>
          <w:p w:rsidR="00411BD4" w:rsidRDefault="00411BD4" w:rsidP="00411BD4">
            <w:r>
              <w:t>-</w:t>
            </w:r>
            <w:r w:rsidR="00B726C5">
              <w:t>Cahier d’exploitation (Enregistrement de la traçabilité) et cartographie</w:t>
            </w:r>
          </w:p>
          <w:p w:rsidR="0070752D" w:rsidRDefault="00B726C5" w:rsidP="00411BD4">
            <w:r>
              <w:t>- documents consultés pour vérification AMM (guide vigneron champenois, mémo vigne, internet, étiquettes….)</w:t>
            </w:r>
          </w:p>
          <w:p w:rsidR="0070752D" w:rsidRDefault="0070752D" w:rsidP="00B726C5"/>
        </w:tc>
      </w:tr>
      <w:tr w:rsidR="00411BD4" w:rsidTr="00383B1A">
        <w:trPr>
          <w:trHeight w:val="517"/>
        </w:trPr>
        <w:tc>
          <w:tcPr>
            <w:tcW w:w="4794" w:type="dxa"/>
            <w:vAlign w:val="center"/>
          </w:tcPr>
          <w:p w:rsidR="00411BD4" w:rsidRPr="00411BD4" w:rsidRDefault="0070752D">
            <w:r w:rsidRPr="0070752D">
              <w:rPr>
                <w:b/>
              </w:rPr>
              <w:t>R10 :</w:t>
            </w:r>
            <w:r>
              <w:t xml:space="preserve"> </w:t>
            </w:r>
            <w:r w:rsidR="00411BD4" w:rsidRPr="00411BD4">
              <w:t>L’exploitant est détenteur du certificat individuel « décideur en exploitation agricole » ou donné par équivalence d’un autre certificat individuel.</w:t>
            </w:r>
          </w:p>
        </w:tc>
        <w:tc>
          <w:tcPr>
            <w:tcW w:w="4794" w:type="dxa"/>
            <w:vAlign w:val="center"/>
          </w:tcPr>
          <w:p w:rsidR="00411BD4" w:rsidRDefault="00B726C5" w:rsidP="00B726C5">
            <w:r>
              <w:t>-</w:t>
            </w:r>
            <w:r w:rsidR="0070752D">
              <w:t>Copie du certificat individuel ou attestation provisoire</w:t>
            </w:r>
          </w:p>
        </w:tc>
      </w:tr>
      <w:tr w:rsidR="00411BD4" w:rsidTr="00383B1A">
        <w:trPr>
          <w:trHeight w:val="517"/>
        </w:trPr>
        <w:tc>
          <w:tcPr>
            <w:tcW w:w="4794" w:type="dxa"/>
            <w:vAlign w:val="center"/>
          </w:tcPr>
          <w:p w:rsidR="00411BD4" w:rsidRPr="00411BD4" w:rsidRDefault="0070752D">
            <w:r w:rsidRPr="0070752D">
              <w:rPr>
                <w:b/>
              </w:rPr>
              <w:t>R11 :</w:t>
            </w:r>
            <w:r>
              <w:t xml:space="preserve"> </w:t>
            </w:r>
            <w:r w:rsidR="00411BD4" w:rsidRPr="00411BD4">
              <w:t>Toute personne qui applique un produit phytopharmaceutique, est détentrice du certificat individuel « opérateur en exploitation agricole » ou donné par équivalence d’un autre certificat individuel.</w:t>
            </w:r>
          </w:p>
        </w:tc>
        <w:tc>
          <w:tcPr>
            <w:tcW w:w="4794" w:type="dxa"/>
            <w:vAlign w:val="center"/>
          </w:tcPr>
          <w:p w:rsidR="00411BD4" w:rsidRDefault="00B726C5" w:rsidP="0070752D">
            <w:r>
              <w:t>-</w:t>
            </w:r>
            <w:r w:rsidR="0070752D">
              <w:t>Copie du certificat individuel ou attestation provisoire</w:t>
            </w:r>
          </w:p>
        </w:tc>
      </w:tr>
      <w:tr w:rsidR="00411BD4" w:rsidTr="00383B1A">
        <w:trPr>
          <w:trHeight w:val="488"/>
        </w:trPr>
        <w:tc>
          <w:tcPr>
            <w:tcW w:w="4794" w:type="dxa"/>
            <w:vAlign w:val="center"/>
          </w:tcPr>
          <w:p w:rsidR="00411BD4" w:rsidRPr="00411BD4" w:rsidRDefault="0070752D">
            <w:r w:rsidRPr="0070752D">
              <w:rPr>
                <w:b/>
              </w:rPr>
              <w:t>R12 :</w:t>
            </w:r>
            <w:r>
              <w:t xml:space="preserve"> </w:t>
            </w:r>
            <w:r w:rsidR="00411BD4" w:rsidRPr="00411BD4">
              <w:t>En cas de recours à un prestataire de services pour les traitements phytosanitaires, celui-ci est détenteur de l’agrément d’entreprise « application en prestation de services de produits phytopharmaceutiques ».</w:t>
            </w:r>
          </w:p>
        </w:tc>
        <w:tc>
          <w:tcPr>
            <w:tcW w:w="4794" w:type="dxa"/>
            <w:vAlign w:val="center"/>
          </w:tcPr>
          <w:p w:rsidR="00B726C5" w:rsidRDefault="00B726C5" w:rsidP="00B726C5">
            <w:r>
              <w:t>-Copie de l’agrément du prestataire</w:t>
            </w:r>
          </w:p>
          <w:p w:rsidR="00B726C5" w:rsidRPr="0070752D" w:rsidRDefault="00B726C5" w:rsidP="00B726C5">
            <w:r>
              <w:t>- Factures</w:t>
            </w:r>
          </w:p>
          <w:p w:rsidR="0070752D" w:rsidRPr="0070752D" w:rsidRDefault="0070752D" w:rsidP="00B726C5"/>
        </w:tc>
      </w:tr>
      <w:tr w:rsidR="00411BD4" w:rsidTr="00411BD4">
        <w:trPr>
          <w:trHeight w:val="517"/>
        </w:trPr>
        <w:tc>
          <w:tcPr>
            <w:tcW w:w="4794" w:type="dxa"/>
            <w:vAlign w:val="bottom"/>
          </w:tcPr>
          <w:p w:rsidR="00411BD4" w:rsidRPr="00411BD4" w:rsidRDefault="0070752D">
            <w:r w:rsidRPr="0070752D">
              <w:rPr>
                <w:b/>
              </w:rPr>
              <w:t>R13 :</w:t>
            </w:r>
            <w:r>
              <w:t xml:space="preserve"> </w:t>
            </w:r>
            <w:r w:rsidR="00411BD4" w:rsidRPr="00411BD4">
              <w:t>Le pulvérisateur répond aux exigences de la directive « machines » (normes NF EN ISO 4254 partie 1 et 6) qui impose des équipements, notamment un di</w:t>
            </w:r>
            <w:r>
              <w:t>spositif lave-mains d’une conte</w:t>
            </w:r>
            <w:r w:rsidR="00411BD4" w:rsidRPr="00411BD4">
              <w:t>nance minimale de 15 litres et des dispositifs antigouttes à chaque niveau de buse.</w:t>
            </w:r>
          </w:p>
        </w:tc>
        <w:tc>
          <w:tcPr>
            <w:tcW w:w="4794" w:type="dxa"/>
            <w:vAlign w:val="center"/>
          </w:tcPr>
          <w:p w:rsidR="00A647B5" w:rsidRDefault="00411BD4" w:rsidP="0070752D">
            <w:r w:rsidRPr="00AD011E">
              <w:t>-</w:t>
            </w:r>
            <w:r w:rsidR="00B726C5">
              <w:t xml:space="preserve"> </w:t>
            </w:r>
            <w:r w:rsidR="00A647B5">
              <w:t xml:space="preserve">Déclaration CE </w:t>
            </w:r>
          </w:p>
          <w:p w:rsidR="00411BD4" w:rsidRDefault="00A647B5" w:rsidP="0070752D">
            <w:r>
              <w:t>-</w:t>
            </w:r>
            <w:r w:rsidR="00B726C5">
              <w:t>Facture du matériel ou de la mise en place des équipements</w:t>
            </w:r>
            <w:r>
              <w:t xml:space="preserve"> sur le matériel</w:t>
            </w:r>
          </w:p>
          <w:p w:rsidR="0070752D" w:rsidRDefault="0070752D" w:rsidP="00B726C5"/>
        </w:tc>
      </w:tr>
      <w:tr w:rsidR="00411BD4" w:rsidTr="00383B1A">
        <w:trPr>
          <w:trHeight w:val="488"/>
        </w:trPr>
        <w:tc>
          <w:tcPr>
            <w:tcW w:w="4794" w:type="dxa"/>
            <w:vAlign w:val="center"/>
          </w:tcPr>
          <w:p w:rsidR="00411BD4" w:rsidRPr="00411BD4" w:rsidRDefault="0070752D">
            <w:r w:rsidRPr="0070752D">
              <w:rPr>
                <w:b/>
              </w:rPr>
              <w:lastRenderedPageBreak/>
              <w:t>R14 :</w:t>
            </w:r>
            <w:r>
              <w:t xml:space="preserve"> </w:t>
            </w:r>
            <w:r w:rsidR="00411BD4" w:rsidRPr="00411BD4">
              <w:t>Un contrôle du pulvérisateur est réalisé tous les 5 ans par un tiers agréé.</w:t>
            </w:r>
          </w:p>
        </w:tc>
        <w:tc>
          <w:tcPr>
            <w:tcW w:w="4794" w:type="dxa"/>
            <w:vAlign w:val="center"/>
          </w:tcPr>
          <w:p w:rsidR="00411BD4" w:rsidRDefault="00A647B5" w:rsidP="00A647B5">
            <w:r>
              <w:t>-</w:t>
            </w:r>
            <w:r w:rsidR="0070752D">
              <w:t>Compte rendu et facture du contrôle technique</w:t>
            </w:r>
          </w:p>
          <w:p w:rsidR="0070752D" w:rsidRDefault="00A647B5" w:rsidP="00A647B5">
            <w:r>
              <w:t xml:space="preserve">- </w:t>
            </w:r>
            <w:r w:rsidR="0070752D">
              <w:t>Facture d’achat du pulvérisateur (si moins de 5ans)</w:t>
            </w:r>
          </w:p>
        </w:tc>
      </w:tr>
      <w:tr w:rsidR="0070752D" w:rsidTr="00383B1A">
        <w:trPr>
          <w:trHeight w:val="517"/>
        </w:trPr>
        <w:tc>
          <w:tcPr>
            <w:tcW w:w="4794" w:type="dxa"/>
            <w:vAlign w:val="center"/>
          </w:tcPr>
          <w:p w:rsidR="0070752D" w:rsidRPr="0070752D" w:rsidRDefault="0070752D">
            <w:r w:rsidRPr="0070752D">
              <w:rPr>
                <w:b/>
              </w:rPr>
              <w:t>R17 :</w:t>
            </w:r>
            <w:r>
              <w:t xml:space="preserve"> </w:t>
            </w:r>
            <w:r w:rsidRPr="0070752D">
              <w:t>L'exploitant respecte les restrictions d’utilisation des produits phytosanitaires à proximité des lieux et établissements accueillant des personnes vulnérables.</w:t>
            </w:r>
          </w:p>
        </w:tc>
        <w:tc>
          <w:tcPr>
            <w:tcW w:w="4794" w:type="dxa"/>
            <w:vAlign w:val="center"/>
          </w:tcPr>
          <w:p w:rsidR="0070752D" w:rsidRDefault="00A647B5" w:rsidP="0070752D">
            <w:r>
              <w:t>-Cahier d’exploitation (Enregistrement de la traçabilité) et cartographie</w:t>
            </w:r>
          </w:p>
        </w:tc>
      </w:tr>
      <w:tr w:rsidR="0070752D" w:rsidTr="00383B1A">
        <w:trPr>
          <w:trHeight w:val="517"/>
        </w:trPr>
        <w:tc>
          <w:tcPr>
            <w:tcW w:w="4794" w:type="dxa"/>
            <w:vAlign w:val="center"/>
          </w:tcPr>
          <w:p w:rsidR="0070752D" w:rsidRPr="0070752D" w:rsidRDefault="0070752D">
            <w:r w:rsidRPr="0070752D">
              <w:rPr>
                <w:b/>
              </w:rPr>
              <w:t>R18 :</w:t>
            </w:r>
            <w:r>
              <w:t xml:space="preserve"> </w:t>
            </w:r>
            <w:r w:rsidRPr="0070752D">
              <w:t xml:space="preserve">L'exploitant respecte la réglementation et les préconisations d’utilisation des produits phytosanitaires aux abords des habitations. </w:t>
            </w:r>
          </w:p>
        </w:tc>
        <w:tc>
          <w:tcPr>
            <w:tcW w:w="4794" w:type="dxa"/>
            <w:vAlign w:val="center"/>
          </w:tcPr>
          <w:p w:rsidR="0070752D" w:rsidRDefault="00A647B5" w:rsidP="0070752D">
            <w:r>
              <w:t>-Cahier d’exploitation (Enregistrement de la traçabilité) et cartographie</w:t>
            </w:r>
          </w:p>
        </w:tc>
      </w:tr>
      <w:tr w:rsidR="0070752D" w:rsidTr="00383B1A">
        <w:trPr>
          <w:trHeight w:val="517"/>
        </w:trPr>
        <w:tc>
          <w:tcPr>
            <w:tcW w:w="4794" w:type="dxa"/>
            <w:vAlign w:val="center"/>
          </w:tcPr>
          <w:p w:rsidR="0070752D" w:rsidRPr="0070752D" w:rsidRDefault="0070752D">
            <w:r w:rsidRPr="0070752D">
              <w:rPr>
                <w:b/>
              </w:rPr>
              <w:t>R19 :</w:t>
            </w:r>
            <w:r w:rsidRPr="0070752D">
              <w:t xml:space="preserve"> inventaire des stocks de produits phytopharmaceutiques est réalisé chaque année en fin de campagne.</w:t>
            </w:r>
          </w:p>
        </w:tc>
        <w:tc>
          <w:tcPr>
            <w:tcW w:w="4794" w:type="dxa"/>
            <w:vAlign w:val="center"/>
          </w:tcPr>
          <w:p w:rsidR="0070752D" w:rsidRDefault="00A647B5" w:rsidP="00A647B5">
            <w:r>
              <w:t>-</w:t>
            </w:r>
            <w:r w:rsidR="0070752D">
              <w:t>Inventaire des stocks</w:t>
            </w:r>
          </w:p>
        </w:tc>
      </w:tr>
      <w:tr w:rsidR="0070752D" w:rsidTr="00383B1A">
        <w:trPr>
          <w:trHeight w:val="517"/>
        </w:trPr>
        <w:tc>
          <w:tcPr>
            <w:tcW w:w="4794" w:type="dxa"/>
            <w:vAlign w:val="center"/>
          </w:tcPr>
          <w:p w:rsidR="0070752D" w:rsidRPr="0070752D" w:rsidRDefault="0070752D">
            <w:r w:rsidRPr="0070752D">
              <w:rPr>
                <w:b/>
              </w:rPr>
              <w:t>R20 :</w:t>
            </w:r>
            <w:r>
              <w:t xml:space="preserve"> </w:t>
            </w:r>
            <w:r w:rsidRPr="0070752D">
              <w:t xml:space="preserve">La fumure de fond organique et la fertilisation azotée sont conformes aux programmes d’action issus de la directive nitrates. </w:t>
            </w:r>
            <w:r w:rsidRPr="0070752D">
              <w:br/>
              <w:t xml:space="preserve">L’exploitant doit notamment : </w:t>
            </w:r>
            <w:r w:rsidRPr="0070752D">
              <w:br/>
              <w:t xml:space="preserve">- réaliser au moins une analyse de sol par an pour les exploitations de plus de 3 ha, </w:t>
            </w:r>
            <w:r w:rsidRPr="0070752D">
              <w:br/>
              <w:t>- respecter les doses maximales autorisées et les périodes ou conditions d’interdiction d’épandage,</w:t>
            </w:r>
            <w:r w:rsidRPr="0070752D">
              <w:br/>
              <w:t xml:space="preserve">- tenir à jour un cahier d'épandage, </w:t>
            </w:r>
            <w:r w:rsidRPr="0070752D">
              <w:br/>
              <w:t xml:space="preserve">- réaliser un plan prévisionnel de fumure, </w:t>
            </w:r>
            <w:r w:rsidRPr="0070752D">
              <w:br/>
              <w:t>- mettre en place des bandes enherbées de 5 m le long des cours d’eau.</w:t>
            </w:r>
          </w:p>
        </w:tc>
        <w:tc>
          <w:tcPr>
            <w:tcW w:w="4794" w:type="dxa"/>
            <w:vAlign w:val="center"/>
          </w:tcPr>
          <w:p w:rsidR="0070752D" w:rsidRDefault="00A647B5" w:rsidP="00A647B5">
            <w:r>
              <w:t>-Cartographie</w:t>
            </w:r>
            <w:r w:rsidR="00DB4DFB">
              <w:t xml:space="preserve"> de l’exploitation</w:t>
            </w:r>
          </w:p>
          <w:p w:rsidR="00DB4DFB" w:rsidRDefault="00A647B5" w:rsidP="00A647B5">
            <w:r>
              <w:t>-</w:t>
            </w:r>
            <w:r w:rsidR="00DB4DFB">
              <w:t>Plan Prévisionnel de Fumure</w:t>
            </w:r>
          </w:p>
          <w:p w:rsidR="00DB4DFB" w:rsidRDefault="00A647B5" w:rsidP="00A647B5">
            <w:r>
              <w:t xml:space="preserve">- </w:t>
            </w:r>
            <w:r w:rsidR="00DB4DFB">
              <w:t>Plan d’épandage</w:t>
            </w:r>
          </w:p>
          <w:p w:rsidR="00DB4DFB" w:rsidRDefault="00A647B5" w:rsidP="00A647B5">
            <w:r>
              <w:t xml:space="preserve">- Cahier d’exploitation </w:t>
            </w:r>
          </w:p>
          <w:p w:rsidR="00DB4DFB" w:rsidRDefault="00A647B5" w:rsidP="00A647B5">
            <w:r>
              <w:t xml:space="preserve">- </w:t>
            </w:r>
            <w:r w:rsidR="00DB4DFB">
              <w:t>Bulletin d’analyses de sol</w:t>
            </w:r>
          </w:p>
        </w:tc>
      </w:tr>
      <w:tr w:rsidR="0070752D" w:rsidTr="00383B1A">
        <w:trPr>
          <w:trHeight w:val="517"/>
        </w:trPr>
        <w:tc>
          <w:tcPr>
            <w:tcW w:w="4794" w:type="dxa"/>
            <w:vAlign w:val="center"/>
          </w:tcPr>
          <w:p w:rsidR="0070752D" w:rsidRPr="0070752D" w:rsidRDefault="00702857">
            <w:r w:rsidRPr="00702857">
              <w:rPr>
                <w:b/>
              </w:rPr>
              <w:t>R21 :</w:t>
            </w:r>
            <w:r>
              <w:t xml:space="preserve"> </w:t>
            </w:r>
            <w:r w:rsidR="0070752D" w:rsidRPr="0070752D">
              <w:t>L’épandage de gadoues, composts urbains ou boues de stations d’épuration urbaines, seuls ou en mélanges, est interdit.</w:t>
            </w:r>
          </w:p>
        </w:tc>
        <w:tc>
          <w:tcPr>
            <w:tcW w:w="4794" w:type="dxa"/>
            <w:vAlign w:val="center"/>
          </w:tcPr>
          <w:p w:rsidR="0070752D" w:rsidRDefault="00A647B5" w:rsidP="00A647B5">
            <w:r>
              <w:t xml:space="preserve">- </w:t>
            </w:r>
            <w:r w:rsidR="00702857">
              <w:t xml:space="preserve">Factures </w:t>
            </w:r>
          </w:p>
          <w:p w:rsidR="00702857" w:rsidRDefault="00A647B5" w:rsidP="00A647B5">
            <w:r>
              <w:t xml:space="preserve">- </w:t>
            </w:r>
            <w:r w:rsidR="00702857">
              <w:t>Bons de livraison</w:t>
            </w:r>
          </w:p>
        </w:tc>
      </w:tr>
      <w:tr w:rsidR="0070752D" w:rsidTr="00383B1A">
        <w:trPr>
          <w:trHeight w:val="517"/>
        </w:trPr>
        <w:tc>
          <w:tcPr>
            <w:tcW w:w="4794" w:type="dxa"/>
            <w:vAlign w:val="center"/>
          </w:tcPr>
          <w:p w:rsidR="0070752D" w:rsidRPr="0070752D" w:rsidRDefault="00702857">
            <w:r w:rsidRPr="00702857">
              <w:rPr>
                <w:b/>
              </w:rPr>
              <w:t>R23 :</w:t>
            </w:r>
            <w:r>
              <w:t xml:space="preserve"> </w:t>
            </w:r>
            <w:r w:rsidR="0070752D" w:rsidRPr="0070752D">
              <w:t>L’exploitant tient à jour un registre des déchets. Les déchets ne sont ni abandonnés dans le milieu, ni enfouis, ni brûlés. Les déchets sont triés, nettoyés si nécessaire et stockés dans un ou plusieurs lieux dédiés à cet effet sur l’exploitation en attendant leur élimination.</w:t>
            </w:r>
          </w:p>
        </w:tc>
        <w:tc>
          <w:tcPr>
            <w:tcW w:w="4794" w:type="dxa"/>
            <w:vAlign w:val="center"/>
          </w:tcPr>
          <w:p w:rsidR="0070752D" w:rsidRDefault="00702857" w:rsidP="006E1EF3">
            <w:r>
              <w:t>Registre des déchets</w:t>
            </w:r>
          </w:p>
        </w:tc>
      </w:tr>
      <w:tr w:rsidR="00702857" w:rsidTr="00383B1A">
        <w:trPr>
          <w:trHeight w:val="517"/>
        </w:trPr>
        <w:tc>
          <w:tcPr>
            <w:tcW w:w="4794" w:type="dxa"/>
            <w:vAlign w:val="center"/>
          </w:tcPr>
          <w:p w:rsidR="00702857" w:rsidRPr="00702857" w:rsidRDefault="00702857">
            <w:pPr>
              <w:rPr>
                <w:rFonts w:cstheme="minorHAnsi"/>
                <w:sz w:val="24"/>
                <w:szCs w:val="24"/>
              </w:rPr>
            </w:pPr>
            <w:r w:rsidRPr="00702857">
              <w:rPr>
                <w:rFonts w:cstheme="minorHAnsi"/>
                <w:b/>
              </w:rPr>
              <w:t>R25 :</w:t>
            </w:r>
            <w:r>
              <w:rPr>
                <w:rFonts w:cstheme="minorHAnsi"/>
              </w:rPr>
              <w:t xml:space="preserve"> </w:t>
            </w:r>
            <w:r w:rsidRPr="00702857">
              <w:rPr>
                <w:rFonts w:cstheme="minorHAnsi"/>
              </w:rPr>
              <w:t>Les fonds de cuve font l’objet, de préférence, d’un rinçage à la parcelle ou d’une gestion sur une aire de lavage. Les reliquats et les eaux de rinçage sont gérés conformément à la réglementation relative à l’élimination des effluents phytosanitaires.</w:t>
            </w:r>
          </w:p>
        </w:tc>
        <w:tc>
          <w:tcPr>
            <w:tcW w:w="4794" w:type="dxa"/>
            <w:vAlign w:val="center"/>
          </w:tcPr>
          <w:p w:rsidR="00702857" w:rsidRDefault="00A647B5" w:rsidP="00A647B5">
            <w:r>
              <w:t>-factures adhésion ou consommation d’eau si adhésion à une aire de lavage</w:t>
            </w:r>
          </w:p>
        </w:tc>
      </w:tr>
      <w:tr w:rsidR="00702857" w:rsidTr="00383B1A">
        <w:trPr>
          <w:trHeight w:val="517"/>
        </w:trPr>
        <w:tc>
          <w:tcPr>
            <w:tcW w:w="4794" w:type="dxa"/>
            <w:vAlign w:val="center"/>
          </w:tcPr>
          <w:p w:rsidR="00702857" w:rsidRPr="00702857" w:rsidRDefault="00702857">
            <w:pPr>
              <w:rPr>
                <w:rFonts w:cstheme="minorHAnsi"/>
                <w:sz w:val="24"/>
                <w:szCs w:val="24"/>
              </w:rPr>
            </w:pPr>
            <w:r w:rsidRPr="00702857">
              <w:rPr>
                <w:rFonts w:cstheme="minorHAnsi"/>
                <w:b/>
              </w:rPr>
              <w:t>R27 :</w:t>
            </w:r>
            <w:r>
              <w:rPr>
                <w:rFonts w:cstheme="minorHAnsi"/>
              </w:rPr>
              <w:t xml:space="preserve"> </w:t>
            </w:r>
            <w:r w:rsidRPr="00702857">
              <w:rPr>
                <w:rFonts w:cstheme="minorHAnsi"/>
              </w:rPr>
              <w:t>Les déchets non dangereux sont apportés dans des lieux de collecte habilités à les recevoir, éliminés lors de collectes spécifiques ou par la voie des ordures ménagères sous réserve d’accord de la collectivité.</w:t>
            </w:r>
          </w:p>
        </w:tc>
        <w:tc>
          <w:tcPr>
            <w:tcW w:w="4794" w:type="dxa"/>
            <w:vAlign w:val="center"/>
          </w:tcPr>
          <w:p w:rsidR="00702857" w:rsidRDefault="005C173D" w:rsidP="005C173D">
            <w:r>
              <w:t>-</w:t>
            </w:r>
            <w:r w:rsidR="00702857">
              <w:t>Bon d’enlèvement</w:t>
            </w:r>
          </w:p>
          <w:p w:rsidR="00702857" w:rsidRDefault="005C173D" w:rsidP="005C173D">
            <w:r>
              <w:t xml:space="preserve">- </w:t>
            </w:r>
            <w:r w:rsidR="00702857">
              <w:t>Bordereau de suivi</w:t>
            </w:r>
          </w:p>
          <w:p w:rsidR="005C173D" w:rsidRDefault="005C173D" w:rsidP="005C173D">
            <w:r>
              <w:t>- Registre des déchets</w:t>
            </w:r>
          </w:p>
        </w:tc>
      </w:tr>
      <w:tr w:rsidR="00702857" w:rsidTr="00383B1A">
        <w:trPr>
          <w:trHeight w:val="517"/>
        </w:trPr>
        <w:tc>
          <w:tcPr>
            <w:tcW w:w="4794" w:type="dxa"/>
            <w:vAlign w:val="center"/>
          </w:tcPr>
          <w:p w:rsidR="00702857" w:rsidRPr="00702857" w:rsidRDefault="00702857">
            <w:pPr>
              <w:rPr>
                <w:rFonts w:cstheme="minorHAnsi"/>
              </w:rPr>
            </w:pPr>
            <w:r w:rsidRPr="00702857">
              <w:rPr>
                <w:rFonts w:cstheme="minorHAnsi"/>
                <w:b/>
              </w:rPr>
              <w:t>R28 :</w:t>
            </w:r>
            <w:r>
              <w:rPr>
                <w:rFonts w:cstheme="minorHAnsi"/>
              </w:rPr>
              <w:t xml:space="preserve"> </w:t>
            </w:r>
            <w:r w:rsidRPr="00702857">
              <w:rPr>
                <w:rFonts w:cstheme="minorHAnsi"/>
              </w:rPr>
              <w:t>Les déchets dangereux sont obligatoirement traités selon des filières spécifiques. Pour cela, les exploitants peuvent participer aux opérations de collecte</w:t>
            </w:r>
            <w:r>
              <w:rPr>
                <w:rFonts w:cstheme="minorHAnsi"/>
              </w:rPr>
              <w:t xml:space="preserve"> spécifiques et aux filières pé</w:t>
            </w:r>
            <w:r w:rsidRPr="00702857">
              <w:rPr>
                <w:rFonts w:cstheme="minorHAnsi"/>
              </w:rPr>
              <w:t>rennes de valorisation mises en place.</w:t>
            </w:r>
          </w:p>
        </w:tc>
        <w:tc>
          <w:tcPr>
            <w:tcW w:w="4794" w:type="dxa"/>
            <w:vAlign w:val="center"/>
          </w:tcPr>
          <w:p w:rsidR="00702857" w:rsidRDefault="005C173D" w:rsidP="005C173D">
            <w:r>
              <w:t>-</w:t>
            </w:r>
            <w:r w:rsidR="00702857">
              <w:t>Bon d’enlèvement</w:t>
            </w:r>
          </w:p>
          <w:p w:rsidR="00702857" w:rsidRDefault="005C173D" w:rsidP="005C173D">
            <w:r>
              <w:t>-</w:t>
            </w:r>
            <w:r w:rsidR="00702857">
              <w:t xml:space="preserve">Bordereau de remise PPNU, EVPP, EPI ou autres déchets souillés par les PPP. </w:t>
            </w:r>
          </w:p>
          <w:p w:rsidR="005C173D" w:rsidRDefault="005C173D" w:rsidP="005C173D">
            <w:r>
              <w:t>- Registre des déchets</w:t>
            </w:r>
          </w:p>
        </w:tc>
      </w:tr>
    </w:tbl>
    <w:p w:rsidR="00411BD4" w:rsidRPr="00A9059C" w:rsidRDefault="00411BD4" w:rsidP="00A9059C"/>
    <w:sectPr w:rsidR="00411BD4" w:rsidRPr="00A9059C" w:rsidSect="000704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62" w:rsidRDefault="009C5D62" w:rsidP="00A9059C">
      <w:pPr>
        <w:spacing w:after="0" w:line="240" w:lineRule="auto"/>
      </w:pPr>
      <w:r>
        <w:separator/>
      </w:r>
    </w:p>
  </w:endnote>
  <w:endnote w:type="continuationSeparator" w:id="0">
    <w:p w:rsidR="009C5D62" w:rsidRDefault="009C5D62" w:rsidP="00A9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62" w:rsidRDefault="009C5D62" w:rsidP="00A9059C">
      <w:pPr>
        <w:spacing w:after="0" w:line="240" w:lineRule="auto"/>
      </w:pPr>
      <w:r>
        <w:separator/>
      </w:r>
    </w:p>
  </w:footnote>
  <w:footnote w:type="continuationSeparator" w:id="0">
    <w:p w:rsidR="009C5D62" w:rsidRDefault="009C5D62" w:rsidP="00A90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AC8"/>
    <w:multiLevelType w:val="hybridMultilevel"/>
    <w:tmpl w:val="09A8D628"/>
    <w:lvl w:ilvl="0" w:tplc="1284BC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7D0501"/>
    <w:multiLevelType w:val="hybridMultilevel"/>
    <w:tmpl w:val="172074B4"/>
    <w:lvl w:ilvl="0" w:tplc="11DA43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231761"/>
    <w:multiLevelType w:val="hybridMultilevel"/>
    <w:tmpl w:val="17AA58D4"/>
    <w:lvl w:ilvl="0" w:tplc="5E0089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E02BC9"/>
    <w:multiLevelType w:val="hybridMultilevel"/>
    <w:tmpl w:val="5D9CA9CA"/>
    <w:lvl w:ilvl="0" w:tplc="E10E649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0B38F1"/>
    <w:multiLevelType w:val="hybridMultilevel"/>
    <w:tmpl w:val="F1C806A4"/>
    <w:lvl w:ilvl="0" w:tplc="057CC4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06110B"/>
    <w:multiLevelType w:val="hybridMultilevel"/>
    <w:tmpl w:val="136A4C78"/>
    <w:lvl w:ilvl="0" w:tplc="E104FD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75A390A"/>
    <w:multiLevelType w:val="hybridMultilevel"/>
    <w:tmpl w:val="23641194"/>
    <w:lvl w:ilvl="0" w:tplc="6826E3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9C"/>
    <w:rsid w:val="00053921"/>
    <w:rsid w:val="0007041B"/>
    <w:rsid w:val="000A06D4"/>
    <w:rsid w:val="0010546D"/>
    <w:rsid w:val="001A7C2F"/>
    <w:rsid w:val="002252AC"/>
    <w:rsid w:val="00383B1A"/>
    <w:rsid w:val="00411BD4"/>
    <w:rsid w:val="00420296"/>
    <w:rsid w:val="004435D3"/>
    <w:rsid w:val="00547F65"/>
    <w:rsid w:val="00572998"/>
    <w:rsid w:val="005C173D"/>
    <w:rsid w:val="005E009B"/>
    <w:rsid w:val="006A40AA"/>
    <w:rsid w:val="006E1EF3"/>
    <w:rsid w:val="00702857"/>
    <w:rsid w:val="00704B3F"/>
    <w:rsid w:val="0070752D"/>
    <w:rsid w:val="0094531C"/>
    <w:rsid w:val="009C5D62"/>
    <w:rsid w:val="00A647B5"/>
    <w:rsid w:val="00A9059C"/>
    <w:rsid w:val="00AD011E"/>
    <w:rsid w:val="00B726C5"/>
    <w:rsid w:val="00D5373D"/>
    <w:rsid w:val="00D64820"/>
    <w:rsid w:val="00DB4DFB"/>
    <w:rsid w:val="00DB6B61"/>
    <w:rsid w:val="00DE6B2D"/>
    <w:rsid w:val="00F10D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059C"/>
    <w:pPr>
      <w:tabs>
        <w:tab w:val="center" w:pos="4536"/>
        <w:tab w:val="right" w:pos="9072"/>
      </w:tabs>
      <w:spacing w:after="0" w:line="240" w:lineRule="auto"/>
    </w:pPr>
  </w:style>
  <w:style w:type="character" w:customStyle="1" w:styleId="En-tteCar">
    <w:name w:val="En-tête Car"/>
    <w:basedOn w:val="Policepardfaut"/>
    <w:link w:val="En-tte"/>
    <w:uiPriority w:val="99"/>
    <w:rsid w:val="00A9059C"/>
  </w:style>
  <w:style w:type="paragraph" w:styleId="Pieddepage">
    <w:name w:val="footer"/>
    <w:basedOn w:val="Normal"/>
    <w:link w:val="PieddepageCar"/>
    <w:uiPriority w:val="99"/>
    <w:unhideWhenUsed/>
    <w:rsid w:val="00A905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059C"/>
  </w:style>
  <w:style w:type="paragraph" w:styleId="Textedebulles">
    <w:name w:val="Balloon Text"/>
    <w:basedOn w:val="Normal"/>
    <w:link w:val="TextedebullesCar"/>
    <w:uiPriority w:val="99"/>
    <w:semiHidden/>
    <w:unhideWhenUsed/>
    <w:rsid w:val="00A905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59C"/>
    <w:rPr>
      <w:rFonts w:ascii="Tahoma" w:hAnsi="Tahoma" w:cs="Tahoma"/>
      <w:sz w:val="16"/>
      <w:szCs w:val="16"/>
    </w:rPr>
  </w:style>
  <w:style w:type="table" w:styleId="Grilledutableau">
    <w:name w:val="Table Grid"/>
    <w:basedOn w:val="TableauNormal"/>
    <w:uiPriority w:val="59"/>
    <w:rsid w:val="00A9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7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059C"/>
    <w:pPr>
      <w:tabs>
        <w:tab w:val="center" w:pos="4536"/>
        <w:tab w:val="right" w:pos="9072"/>
      </w:tabs>
      <w:spacing w:after="0" w:line="240" w:lineRule="auto"/>
    </w:pPr>
  </w:style>
  <w:style w:type="character" w:customStyle="1" w:styleId="En-tteCar">
    <w:name w:val="En-tête Car"/>
    <w:basedOn w:val="Policepardfaut"/>
    <w:link w:val="En-tte"/>
    <w:uiPriority w:val="99"/>
    <w:rsid w:val="00A9059C"/>
  </w:style>
  <w:style w:type="paragraph" w:styleId="Pieddepage">
    <w:name w:val="footer"/>
    <w:basedOn w:val="Normal"/>
    <w:link w:val="PieddepageCar"/>
    <w:uiPriority w:val="99"/>
    <w:unhideWhenUsed/>
    <w:rsid w:val="00A905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059C"/>
  </w:style>
  <w:style w:type="paragraph" w:styleId="Textedebulles">
    <w:name w:val="Balloon Text"/>
    <w:basedOn w:val="Normal"/>
    <w:link w:val="TextedebullesCar"/>
    <w:uiPriority w:val="99"/>
    <w:semiHidden/>
    <w:unhideWhenUsed/>
    <w:rsid w:val="00A905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59C"/>
    <w:rPr>
      <w:rFonts w:ascii="Tahoma" w:hAnsi="Tahoma" w:cs="Tahoma"/>
      <w:sz w:val="16"/>
      <w:szCs w:val="16"/>
    </w:rPr>
  </w:style>
  <w:style w:type="table" w:styleId="Grilledutableau">
    <w:name w:val="Table Grid"/>
    <w:basedOn w:val="TableauNormal"/>
    <w:uiPriority w:val="59"/>
    <w:rsid w:val="00A9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4409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GRANGER Diane</dc:creator>
  <cp:lastModifiedBy>Michel Beatrice</cp:lastModifiedBy>
  <cp:revision>2</cp:revision>
  <dcterms:created xsi:type="dcterms:W3CDTF">2020-11-10T10:39:00Z</dcterms:created>
  <dcterms:modified xsi:type="dcterms:W3CDTF">2020-11-10T10:39:00Z</dcterms:modified>
</cp:coreProperties>
</file>